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8DB8" w14:textId="2D5A6050" w:rsidR="000561A7" w:rsidRPr="00831358" w:rsidRDefault="000561A7" w:rsidP="000561A7">
      <w:pPr>
        <w:rPr>
          <w:rFonts w:ascii="Arial" w:hAnsi="Arial" w:cs="Arial"/>
          <w:b/>
          <w:bCs/>
          <w:i/>
          <w:iCs/>
          <w:sz w:val="28"/>
          <w:szCs w:val="28"/>
        </w:rPr>
      </w:pPr>
      <w:r>
        <w:rPr>
          <w:rFonts w:ascii="Arial" w:hAnsi="Arial" w:cs="Arial"/>
          <w:b/>
          <w:bCs/>
          <w:i/>
          <w:iCs/>
          <w:sz w:val="28"/>
          <w:szCs w:val="28"/>
        </w:rPr>
        <w:t>Programme de support à l’industrie touristique (EPRTNT)</w:t>
      </w:r>
    </w:p>
    <w:p w14:paraId="3B531BA6" w14:textId="1E22B78F" w:rsidR="007C3DB9" w:rsidRPr="003373AF" w:rsidRDefault="00D408A9" w:rsidP="00D408A9">
      <w:pPr>
        <w:jc w:val="right"/>
        <w:rPr>
          <w:rFonts w:ascii="Arial" w:hAnsi="Arial" w:cs="Arial"/>
          <w:b/>
          <w:bCs/>
          <w:sz w:val="24"/>
          <w:szCs w:val="24"/>
        </w:rPr>
      </w:pPr>
      <w:r>
        <w:rPr>
          <w:noProof/>
        </w:rPr>
        <w:drawing>
          <wp:inline distT="0" distB="0" distL="0" distR="0" wp14:anchorId="34E89F33" wp14:editId="5B302E7C">
            <wp:extent cx="1226185" cy="619760"/>
            <wp:effectExtent l="0" t="0" r="0" b="8890"/>
            <wp:docPr id="902374889"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4889" name="Image 1" descr="Une image contenant Police, texte, logo, Graphique&#10;&#10;Le contenu généré par l’IA peut être incorrect."/>
                    <pic:cNvPicPr/>
                  </pic:nvPicPr>
                  <pic:blipFill>
                    <a:blip r:embed="rId11"/>
                    <a:stretch>
                      <a:fillRect/>
                    </a:stretch>
                  </pic:blipFill>
                  <pic:spPr>
                    <a:xfrm>
                      <a:off x="0" y="0"/>
                      <a:ext cx="1226185" cy="619760"/>
                    </a:xfrm>
                    <a:prstGeom prst="rect">
                      <a:avLst/>
                    </a:prstGeom>
                  </pic:spPr>
                </pic:pic>
              </a:graphicData>
            </a:graphic>
          </wp:inline>
        </w:drawing>
      </w:r>
    </w:p>
    <w:p w14:paraId="26559952" w14:textId="77777777" w:rsidR="007C3DB9" w:rsidRPr="003373AF" w:rsidRDefault="007C3DB9" w:rsidP="00C12B7D">
      <w:pPr>
        <w:jc w:val="center"/>
        <w:rPr>
          <w:rFonts w:ascii="Arial" w:hAnsi="Arial" w:cs="Arial"/>
          <w:b/>
          <w:bCs/>
          <w:sz w:val="24"/>
          <w:szCs w:val="24"/>
        </w:rPr>
      </w:pPr>
    </w:p>
    <w:p w14:paraId="1E4D9692" w14:textId="2395BF11" w:rsidR="009E05C9" w:rsidRPr="003373AF" w:rsidRDefault="009E05C9" w:rsidP="00C12B7D">
      <w:pPr>
        <w:jc w:val="center"/>
        <w:rPr>
          <w:rFonts w:ascii="Arial" w:hAnsi="Arial" w:cs="Arial"/>
          <w:b/>
          <w:bCs/>
          <w:sz w:val="24"/>
          <w:szCs w:val="24"/>
        </w:rPr>
        <w:sectPr w:rsidR="009E05C9" w:rsidRPr="003373AF" w:rsidSect="009E05C9">
          <w:footerReference w:type="default" r:id="rId12"/>
          <w:pgSz w:w="12240" w:h="20160" w:code="5"/>
          <w:pgMar w:top="851" w:right="616" w:bottom="1843" w:left="851" w:header="708" w:footer="708" w:gutter="0"/>
          <w:cols w:num="2" w:space="708"/>
          <w:docGrid w:linePitch="360"/>
        </w:sectPr>
      </w:pPr>
    </w:p>
    <w:p w14:paraId="0503BF2C" w14:textId="77777777" w:rsidR="009E05C9" w:rsidRPr="003373AF" w:rsidRDefault="009E05C9" w:rsidP="00E9434D">
      <w:pPr>
        <w:jc w:val="both"/>
        <w:rPr>
          <w:rFonts w:ascii="Arial" w:hAnsi="Arial" w:cs="Arial"/>
          <w:sz w:val="24"/>
          <w:szCs w:val="24"/>
        </w:rPr>
      </w:pPr>
    </w:p>
    <w:p w14:paraId="5A3E0353" w14:textId="77777777" w:rsidR="0084620C" w:rsidRPr="003373AF" w:rsidRDefault="0084620C" w:rsidP="00E9434D">
      <w:pPr>
        <w:jc w:val="both"/>
        <w:rPr>
          <w:rFonts w:ascii="Arial" w:hAnsi="Arial" w:cs="Arial"/>
          <w:sz w:val="24"/>
          <w:szCs w:val="24"/>
        </w:rPr>
      </w:pPr>
    </w:p>
    <w:p w14:paraId="3F76A95D" w14:textId="77777777" w:rsidR="00E91A55" w:rsidRPr="003373AF" w:rsidRDefault="00E91A55" w:rsidP="00766B9C">
      <w:pPr>
        <w:pBdr>
          <w:top w:val="single" w:sz="4" w:space="1" w:color="auto"/>
          <w:left w:val="single" w:sz="4" w:space="4" w:color="auto"/>
          <w:bottom w:val="single" w:sz="4" w:space="21" w:color="auto"/>
          <w:right w:val="single" w:sz="4" w:space="4" w:color="auto"/>
        </w:pBdr>
        <w:shd w:val="clear" w:color="auto" w:fill="002060"/>
        <w:jc w:val="center"/>
        <w:rPr>
          <w:rFonts w:ascii="Arial" w:hAnsi="Arial" w:cs="Arial"/>
          <w:b/>
          <w:bCs/>
          <w:smallCaps/>
          <w:color w:val="FFFFFF" w:themeColor="background1"/>
          <w:sz w:val="24"/>
          <w:szCs w:val="24"/>
        </w:rPr>
      </w:pPr>
    </w:p>
    <w:p w14:paraId="1D2F2D31" w14:textId="3B1C115B" w:rsidR="00766B9C" w:rsidRPr="00433992" w:rsidRDefault="00766B9C" w:rsidP="1F15354A">
      <w:pPr>
        <w:pBdr>
          <w:top w:val="single" w:sz="4" w:space="1" w:color="auto"/>
          <w:left w:val="single" w:sz="4" w:space="4" w:color="auto"/>
          <w:bottom w:val="single" w:sz="4" w:space="21" w:color="auto"/>
          <w:right w:val="single" w:sz="4" w:space="4" w:color="auto"/>
        </w:pBdr>
        <w:shd w:val="clear" w:color="auto" w:fill="002060"/>
        <w:jc w:val="center"/>
        <w:rPr>
          <w:rFonts w:ascii="Arial" w:hAnsi="Arial" w:cs="Arial"/>
          <w:b/>
          <w:bCs/>
          <w:caps/>
          <w:color w:val="FFFFFF" w:themeColor="background1"/>
          <w:sz w:val="32"/>
          <w:szCs w:val="32"/>
        </w:rPr>
      </w:pPr>
      <w:r w:rsidRPr="1F15354A">
        <w:rPr>
          <w:rFonts w:ascii="Arial" w:hAnsi="Arial" w:cs="Arial"/>
          <w:b/>
          <w:bCs/>
          <w:smallCaps/>
          <w:color w:val="FFFFFF" w:themeColor="background1"/>
          <w:sz w:val="32"/>
          <w:szCs w:val="32"/>
        </w:rPr>
        <w:t>Catégorie :</w:t>
      </w:r>
      <w:r w:rsidR="00D833D1" w:rsidRPr="1F15354A">
        <w:rPr>
          <w:rFonts w:ascii="Arial" w:hAnsi="Arial" w:cs="Arial"/>
          <w:b/>
          <w:bCs/>
          <w:smallCaps/>
          <w:color w:val="FFFFFF" w:themeColor="background1"/>
          <w:sz w:val="32"/>
          <w:szCs w:val="32"/>
        </w:rPr>
        <w:t xml:space="preserve"> </w:t>
      </w:r>
      <w:r w:rsidR="00D941A6" w:rsidRPr="1F15354A">
        <w:rPr>
          <w:rFonts w:ascii="Arial" w:hAnsi="Arial" w:cs="Arial"/>
          <w:b/>
          <w:bCs/>
          <w:smallCaps/>
          <w:color w:val="FFFFFF" w:themeColor="background1"/>
          <w:sz w:val="32"/>
          <w:szCs w:val="32"/>
        </w:rPr>
        <w:t>Structuration de l’offre touristique régionale</w:t>
      </w:r>
    </w:p>
    <w:p w14:paraId="38834A92" w14:textId="09E43C99" w:rsidR="1F15354A" w:rsidRPr="004A5852" w:rsidRDefault="008B6529" w:rsidP="004A5852">
      <w:pPr>
        <w:pBdr>
          <w:top w:val="single" w:sz="4" w:space="1" w:color="auto"/>
          <w:left w:val="single" w:sz="4" w:space="4" w:color="auto"/>
          <w:bottom w:val="single" w:sz="4" w:space="21" w:color="auto"/>
          <w:right w:val="single" w:sz="4" w:space="4" w:color="auto"/>
        </w:pBdr>
        <w:shd w:val="clear" w:color="auto" w:fill="002060"/>
        <w:tabs>
          <w:tab w:val="left" w:pos="645"/>
          <w:tab w:val="center" w:pos="5386"/>
        </w:tabs>
        <w:jc w:val="center"/>
        <w:rPr>
          <w:rFonts w:ascii="Arial" w:eastAsia="Arial" w:hAnsi="Arial" w:cs="Arial"/>
          <w:sz w:val="32"/>
          <w:szCs w:val="32"/>
        </w:rPr>
      </w:pPr>
      <w:r>
        <w:rPr>
          <w:rFonts w:ascii="Arial" w:eastAsia="Arial" w:hAnsi="Arial" w:cs="Arial"/>
          <w:b/>
          <w:bCs/>
          <w:color w:val="FFFFFF" w:themeColor="background1"/>
          <w:sz w:val="24"/>
          <w:szCs w:val="24"/>
        </w:rPr>
        <w:t>Coûts admissibles minimum :</w:t>
      </w:r>
      <w:r w:rsidR="71A6FF0A" w:rsidRPr="1F15354A">
        <w:rPr>
          <w:rFonts w:ascii="Arial" w:eastAsia="Arial" w:hAnsi="Arial" w:cs="Arial"/>
          <w:b/>
          <w:bCs/>
          <w:color w:val="FFFFFF" w:themeColor="background1"/>
          <w:sz w:val="24"/>
          <w:szCs w:val="24"/>
        </w:rPr>
        <w:t xml:space="preserve"> 25 000 $ incluant les taxes afférentes</w:t>
      </w:r>
    </w:p>
    <w:p w14:paraId="5ABC3566" w14:textId="77777777" w:rsidR="00766B9C" w:rsidRDefault="00766B9C" w:rsidP="00E9434D">
      <w:pPr>
        <w:jc w:val="both"/>
        <w:rPr>
          <w:rFonts w:ascii="Arial" w:hAnsi="Arial" w:cs="Arial"/>
          <w:sz w:val="24"/>
          <w:szCs w:val="24"/>
        </w:rPr>
      </w:pPr>
    </w:p>
    <w:p w14:paraId="4A63E475" w14:textId="6572DB35" w:rsidR="001C6C46" w:rsidRPr="00842C0A" w:rsidRDefault="00C0403A" w:rsidP="008214FE">
      <w:pPr>
        <w:jc w:val="center"/>
        <w:rPr>
          <w:rFonts w:ascii="Arial" w:hAnsi="Arial" w:cs="Arial"/>
          <w:color w:val="EE0000"/>
          <w:sz w:val="28"/>
          <w:szCs w:val="28"/>
        </w:rPr>
      </w:pPr>
      <w:r w:rsidRPr="00842C0A">
        <w:rPr>
          <w:rFonts w:ascii="Arial" w:hAnsi="Arial" w:cs="Arial"/>
          <w:b/>
          <w:bCs/>
          <w:color w:val="EE0000"/>
          <w:sz w:val="32"/>
          <w:szCs w:val="32"/>
        </w:rPr>
        <w:t xml:space="preserve">Attention : lire le </w:t>
      </w:r>
      <w:r w:rsidR="00E90CD0" w:rsidRPr="00842C0A">
        <w:rPr>
          <w:rFonts w:ascii="Arial" w:hAnsi="Arial" w:cs="Arial"/>
          <w:b/>
          <w:bCs/>
          <w:color w:val="EE0000"/>
          <w:sz w:val="32"/>
          <w:szCs w:val="32"/>
        </w:rPr>
        <w:t>guide</w:t>
      </w:r>
      <w:r w:rsidRPr="00842C0A">
        <w:rPr>
          <w:rFonts w:ascii="Arial" w:hAnsi="Arial" w:cs="Arial"/>
          <w:b/>
          <w:bCs/>
          <w:color w:val="EE0000"/>
          <w:sz w:val="32"/>
          <w:szCs w:val="32"/>
        </w:rPr>
        <w:t xml:space="preserve"> d’information générale</w:t>
      </w:r>
    </w:p>
    <w:p w14:paraId="5F821809" w14:textId="77777777" w:rsidR="00766B9C" w:rsidRPr="003373AF" w:rsidRDefault="00766B9C" w:rsidP="00E9434D">
      <w:pPr>
        <w:jc w:val="both"/>
        <w:rPr>
          <w:rFonts w:ascii="Arial" w:hAnsi="Arial" w:cs="Arial"/>
          <w:sz w:val="24"/>
          <w:szCs w:val="24"/>
        </w:rPr>
      </w:pPr>
    </w:p>
    <w:p w14:paraId="72B6DA3F" w14:textId="77777777" w:rsidR="00E9434D" w:rsidRPr="003373AF" w:rsidRDefault="00E9434D" w:rsidP="00E9434D">
      <w:pPr>
        <w:jc w:val="both"/>
        <w:rPr>
          <w:rFonts w:ascii="Arial" w:hAnsi="Arial" w:cs="Arial"/>
          <w:sz w:val="24"/>
          <w:szCs w:val="24"/>
        </w:rPr>
        <w:sectPr w:rsidR="00E9434D" w:rsidRPr="003373AF" w:rsidSect="009E05C9">
          <w:type w:val="continuous"/>
          <w:pgSz w:w="12240" w:h="20160" w:code="5"/>
          <w:pgMar w:top="1440" w:right="616" w:bottom="1440" w:left="851" w:header="708" w:footer="708" w:gutter="0"/>
          <w:cols w:space="708"/>
          <w:docGrid w:linePitch="360"/>
        </w:sectPr>
      </w:pPr>
    </w:p>
    <w:p w14:paraId="7A0A3352" w14:textId="77777777" w:rsidR="000303A2" w:rsidRPr="00DD2544" w:rsidRDefault="000303A2" w:rsidP="000303A2">
      <w:pPr>
        <w:pBdr>
          <w:bottom w:val="single" w:sz="4" w:space="1" w:color="auto"/>
        </w:pBdr>
        <w:spacing w:before="240" w:after="60"/>
        <w:jc w:val="both"/>
        <w:rPr>
          <w:rFonts w:ascii="Arial Narrow" w:hAnsi="Arial Narrow" w:cs="Arial"/>
          <w:b/>
          <w:i/>
          <w:iCs/>
          <w:color w:val="1F3864" w:themeColor="accent1" w:themeShade="80"/>
          <w:szCs w:val="22"/>
        </w:rPr>
      </w:pPr>
      <w:r w:rsidRPr="00DD2544">
        <w:rPr>
          <w:rFonts w:ascii="Arial Narrow" w:hAnsi="Arial Narrow" w:cs="Arial"/>
          <w:b/>
          <w:i/>
          <w:iCs/>
          <w:color w:val="1F3864" w:themeColor="accent1" w:themeShade="80"/>
          <w:szCs w:val="22"/>
        </w:rPr>
        <w:t>PROJETS ADMISSIBLES</w:t>
      </w:r>
    </w:p>
    <w:p w14:paraId="745FC467" w14:textId="318A5078" w:rsidR="000303A2" w:rsidRPr="00DC0523" w:rsidRDefault="000303A2" w:rsidP="000303A2">
      <w:pPr>
        <w:jc w:val="both"/>
        <w:rPr>
          <w:rFonts w:ascii="Arial Narrow" w:hAnsi="Arial Narrow" w:cs="Arial"/>
          <w:sz w:val="18"/>
          <w:szCs w:val="18"/>
        </w:rPr>
      </w:pPr>
      <w:r w:rsidRPr="00DC0523">
        <w:rPr>
          <w:rFonts w:ascii="Arial Narrow" w:hAnsi="Arial Narrow" w:cs="Arial"/>
          <w:sz w:val="18"/>
          <w:szCs w:val="18"/>
        </w:rPr>
        <w:t xml:space="preserve">Une aide financière ponctuelle peut être accordée à des projets structurants de la région. La thématique doit être représentative de la région et avoir un impact sur le territoire de la région. Les projets doivent démontrer une capacité à générer des retombées chez plusieurs partenaires. Ils peuvent être coordonnés par </w:t>
      </w:r>
      <w:r w:rsidR="009B78CD" w:rsidRPr="00DC0523">
        <w:rPr>
          <w:rFonts w:ascii="Arial Narrow" w:hAnsi="Arial Narrow" w:cs="Arial"/>
          <w:sz w:val="18"/>
          <w:szCs w:val="18"/>
        </w:rPr>
        <w:t>Destination Québec cité</w:t>
      </w:r>
      <w:r w:rsidRPr="00DC0523">
        <w:rPr>
          <w:rFonts w:ascii="Arial Narrow" w:hAnsi="Arial Narrow" w:cs="Arial"/>
          <w:sz w:val="18"/>
          <w:szCs w:val="18"/>
        </w:rPr>
        <w:t xml:space="preserve"> ou toute autre entité reconnue et acceptée par le comité de gestion. Ils doivent recevoir un appui financier de différents organismes ou entreprises du territoire.</w:t>
      </w:r>
    </w:p>
    <w:p w14:paraId="18FE87C0" w14:textId="77777777" w:rsidR="000303A2" w:rsidRPr="00DC0523" w:rsidRDefault="000303A2" w:rsidP="000303A2">
      <w:pPr>
        <w:spacing w:before="60"/>
        <w:jc w:val="both"/>
        <w:rPr>
          <w:rFonts w:ascii="Arial Narrow" w:hAnsi="Arial Narrow" w:cs="Arial"/>
          <w:sz w:val="18"/>
          <w:szCs w:val="18"/>
        </w:rPr>
      </w:pPr>
      <w:r w:rsidRPr="00DC0523">
        <w:rPr>
          <w:rFonts w:ascii="Arial Narrow" w:hAnsi="Arial Narrow" w:cs="Arial"/>
          <w:sz w:val="18"/>
          <w:szCs w:val="18"/>
        </w:rPr>
        <w:t>Sont admissibles les projets reliés à l’implantation de routes et de circuits touristiques, le développement d’un produit thématique et identitaire pour la région, des initiatives permettant d’améliorer l’accès aux territoires, l’intermodalité et la mobilité durable des voyageurs, ou tout autre projet démontrant une structuration de l’offre touristique. La pérennité des projets devra être démontrée et s’échelonner sur plus de trois ans.</w:t>
      </w:r>
    </w:p>
    <w:p w14:paraId="1570CA35" w14:textId="0D2080A0" w:rsidR="00902A37" w:rsidRDefault="00902A37" w:rsidP="00902A37">
      <w:pPr>
        <w:pBdr>
          <w:bottom w:val="single" w:sz="4" w:space="1" w:color="auto"/>
        </w:pBdr>
        <w:spacing w:before="240" w:after="60"/>
        <w:jc w:val="both"/>
        <w:rPr>
          <w:rFonts w:ascii="Arial Narrow" w:hAnsi="Arial Narrow" w:cs="Arial"/>
          <w:color w:val="1F3864" w:themeColor="accent1" w:themeShade="80"/>
        </w:rPr>
      </w:pPr>
    </w:p>
    <w:p w14:paraId="37FA0341" w14:textId="117EC664" w:rsidR="00F55BF4" w:rsidRPr="00DD36FF" w:rsidRDefault="00F55BF4" w:rsidP="00F55BF4">
      <w:pPr>
        <w:pBdr>
          <w:bottom w:val="single" w:sz="4" w:space="1" w:color="auto"/>
        </w:pBdr>
        <w:spacing w:before="240" w:after="60"/>
        <w:jc w:val="both"/>
        <w:rPr>
          <w:rFonts w:ascii="Arial Narrow" w:hAnsi="Arial Narrow" w:cs="Arial"/>
          <w:color w:val="1F3864" w:themeColor="accent1" w:themeShade="80"/>
        </w:rPr>
      </w:pPr>
    </w:p>
    <w:p w14:paraId="25A9ACBD" w14:textId="6BD88973" w:rsidR="00F55BF4" w:rsidRDefault="00F55BF4" w:rsidP="00F55BF4">
      <w:pPr>
        <w:pBdr>
          <w:bottom w:val="single" w:sz="4" w:space="1" w:color="auto"/>
        </w:pBdr>
        <w:spacing w:before="240" w:after="60"/>
        <w:jc w:val="both"/>
        <w:rPr>
          <w:rFonts w:ascii="Arial Narrow" w:hAnsi="Arial Narrow" w:cs="Arial"/>
          <w:color w:val="1F3864" w:themeColor="accent1" w:themeShade="80"/>
        </w:rPr>
      </w:pPr>
    </w:p>
    <w:p w14:paraId="7954A772" w14:textId="3EB78317" w:rsidR="00F55BF4" w:rsidRDefault="00F55BF4" w:rsidP="00F55BF4">
      <w:pPr>
        <w:pBdr>
          <w:bottom w:val="single" w:sz="4" w:space="1" w:color="auto"/>
        </w:pBdr>
        <w:spacing w:before="240" w:after="60"/>
        <w:jc w:val="both"/>
        <w:rPr>
          <w:rFonts w:ascii="Arial Narrow" w:hAnsi="Arial Narrow" w:cs="Arial"/>
          <w:color w:val="1F3864" w:themeColor="accent1" w:themeShade="80"/>
        </w:rPr>
      </w:pPr>
    </w:p>
    <w:p w14:paraId="48F86F09" w14:textId="77777777" w:rsidR="004A5852" w:rsidRDefault="004A5852" w:rsidP="00F55BF4">
      <w:pPr>
        <w:pBdr>
          <w:bottom w:val="single" w:sz="4" w:space="1" w:color="auto"/>
        </w:pBdr>
        <w:spacing w:before="240" w:after="60"/>
        <w:jc w:val="both"/>
        <w:rPr>
          <w:rFonts w:ascii="Arial Narrow" w:hAnsi="Arial Narrow" w:cs="Arial"/>
          <w:color w:val="1F3864" w:themeColor="accent1" w:themeShade="80"/>
        </w:rPr>
      </w:pPr>
    </w:p>
    <w:p w14:paraId="0D5BA04B" w14:textId="382784AF" w:rsidR="00F55BF4" w:rsidRDefault="00F55BF4" w:rsidP="00F55BF4">
      <w:pPr>
        <w:pBdr>
          <w:bottom w:val="single" w:sz="4" w:space="1" w:color="auto"/>
        </w:pBdr>
        <w:spacing w:before="240" w:after="60"/>
        <w:jc w:val="both"/>
        <w:rPr>
          <w:rFonts w:ascii="Arial Narrow" w:hAnsi="Arial Narrow" w:cs="Arial"/>
          <w:color w:val="1F3864" w:themeColor="accent1" w:themeShade="80"/>
        </w:rPr>
      </w:pPr>
    </w:p>
    <w:p w14:paraId="0F212242" w14:textId="1718FFAC" w:rsidR="00F55BF4" w:rsidRDefault="00F55BF4" w:rsidP="00F55BF4">
      <w:pPr>
        <w:pBdr>
          <w:bottom w:val="single" w:sz="4" w:space="1" w:color="auto"/>
        </w:pBdr>
        <w:spacing w:before="240" w:after="60"/>
        <w:jc w:val="both"/>
        <w:rPr>
          <w:rFonts w:ascii="Arial Narrow" w:hAnsi="Arial Narrow" w:cs="Arial"/>
          <w:color w:val="1F3864" w:themeColor="accent1" w:themeShade="80"/>
        </w:rPr>
      </w:pPr>
    </w:p>
    <w:p w14:paraId="052BFC9F" w14:textId="6869B01E" w:rsidR="00F55BF4" w:rsidRDefault="00F55BF4" w:rsidP="00F55BF4">
      <w:pPr>
        <w:pBdr>
          <w:bottom w:val="single" w:sz="4" w:space="1" w:color="auto"/>
        </w:pBdr>
        <w:spacing w:before="240" w:after="60"/>
        <w:jc w:val="both"/>
        <w:rPr>
          <w:rFonts w:ascii="Arial Narrow" w:hAnsi="Arial Narrow" w:cs="Arial"/>
          <w:color w:val="1F3864" w:themeColor="accent1" w:themeShade="80"/>
        </w:rPr>
      </w:pPr>
    </w:p>
    <w:p w14:paraId="230A151E" w14:textId="77777777" w:rsidR="00902A37" w:rsidRDefault="00902A37" w:rsidP="00902A37">
      <w:pPr>
        <w:pBdr>
          <w:bottom w:val="single" w:sz="4" w:space="1" w:color="auto"/>
        </w:pBdr>
        <w:spacing w:before="240" w:after="60"/>
        <w:jc w:val="both"/>
        <w:rPr>
          <w:rFonts w:ascii="Arial Narrow" w:hAnsi="Arial Narrow" w:cs="Arial"/>
          <w:bCs/>
          <w:color w:val="1F3864" w:themeColor="accent1" w:themeShade="80"/>
          <w:szCs w:val="22"/>
        </w:rPr>
      </w:pPr>
    </w:p>
    <w:p w14:paraId="06E85D7E" w14:textId="77777777" w:rsidR="00902A37" w:rsidRPr="00DD2544" w:rsidRDefault="00902A37" w:rsidP="00902A37">
      <w:pPr>
        <w:pBdr>
          <w:bottom w:val="single" w:sz="4" w:space="1" w:color="auto"/>
        </w:pBdr>
        <w:spacing w:before="240" w:after="60"/>
        <w:jc w:val="both"/>
        <w:rPr>
          <w:rFonts w:ascii="Arial Narrow" w:hAnsi="Arial Narrow" w:cs="Arial"/>
          <w:b/>
          <w:i/>
          <w:iCs/>
          <w:color w:val="1F3864" w:themeColor="accent1" w:themeShade="80"/>
          <w:szCs w:val="22"/>
        </w:rPr>
      </w:pPr>
      <w:r w:rsidRPr="00DD2544">
        <w:rPr>
          <w:rFonts w:ascii="Arial Narrow" w:hAnsi="Arial Narrow" w:cs="Arial"/>
          <w:b/>
          <w:i/>
          <w:iCs/>
          <w:color w:val="1F3864" w:themeColor="accent1" w:themeShade="80"/>
          <w:szCs w:val="22"/>
        </w:rPr>
        <w:t>COÛTS ADMISSIBLES</w:t>
      </w:r>
    </w:p>
    <w:p w14:paraId="1B574CB8" w14:textId="77777777" w:rsidR="00902A37" w:rsidRPr="00605F45" w:rsidRDefault="00902A37" w:rsidP="00902A37">
      <w:pPr>
        <w:pStyle w:val="Niveau2texte"/>
        <w:keepLines w:val="0"/>
        <w:widowControl/>
        <w:numPr>
          <w:ilvl w:val="0"/>
          <w:numId w:val="14"/>
        </w:numPr>
        <w:spacing w:before="0" w:after="0"/>
        <w:ind w:left="284" w:hanging="284"/>
        <w:jc w:val="both"/>
        <w:rPr>
          <w:rFonts w:ascii="Arial Narrow" w:hAnsi="Arial Narrow"/>
          <w:sz w:val="18"/>
          <w:szCs w:val="18"/>
          <w:lang w:val="fr-CA"/>
        </w:rPr>
      </w:pPr>
      <w:r w:rsidRPr="00605F45">
        <w:rPr>
          <w:rFonts w:ascii="Arial Narrow" w:hAnsi="Arial Narrow"/>
          <w:sz w:val="18"/>
          <w:szCs w:val="18"/>
          <w:lang w:val="fr-CA"/>
        </w:rPr>
        <w:t>Les honoraires de firmes ou de consultants spécialisés;</w:t>
      </w:r>
    </w:p>
    <w:p w14:paraId="7F26ED2E" w14:textId="77777777" w:rsidR="00902A37" w:rsidRPr="00605F45" w:rsidRDefault="00902A37" w:rsidP="00902A37">
      <w:pPr>
        <w:pStyle w:val="Niveau2texte"/>
        <w:keepLines w:val="0"/>
        <w:widowControl/>
        <w:numPr>
          <w:ilvl w:val="0"/>
          <w:numId w:val="14"/>
        </w:numPr>
        <w:spacing w:before="20" w:after="0"/>
        <w:ind w:left="284" w:hanging="284"/>
        <w:jc w:val="both"/>
        <w:rPr>
          <w:rFonts w:ascii="Arial Narrow" w:hAnsi="Arial Narrow"/>
          <w:sz w:val="18"/>
          <w:szCs w:val="18"/>
          <w:lang w:val="fr-CA"/>
        </w:rPr>
      </w:pPr>
      <w:r w:rsidRPr="00605F45">
        <w:rPr>
          <w:rFonts w:ascii="Arial Narrow" w:hAnsi="Arial Narrow"/>
          <w:sz w:val="18"/>
          <w:szCs w:val="18"/>
          <w:lang w:val="fr-CA"/>
        </w:rPr>
        <w:t>Les frais de déplacement ne dépassant pas les barèmes en vigueur dans la fonction publique, les frais généraux, les salaires et les avantages sociaux des ressources humaines, s’ils sont consacrés spécifiquement à la réalisation du projet du promoteur;</w:t>
      </w:r>
    </w:p>
    <w:p w14:paraId="136602B6" w14:textId="77777777" w:rsidR="00902A37" w:rsidRPr="00605F45" w:rsidRDefault="00902A37" w:rsidP="00902A37">
      <w:pPr>
        <w:pStyle w:val="Niveau2texte"/>
        <w:keepLines w:val="0"/>
        <w:widowControl/>
        <w:numPr>
          <w:ilvl w:val="0"/>
          <w:numId w:val="14"/>
        </w:numPr>
        <w:spacing w:before="20" w:after="0"/>
        <w:ind w:left="284" w:hanging="284"/>
        <w:jc w:val="both"/>
        <w:rPr>
          <w:rFonts w:ascii="Arial Narrow" w:hAnsi="Arial Narrow"/>
          <w:sz w:val="18"/>
          <w:szCs w:val="18"/>
          <w:lang w:val="fr-CA"/>
        </w:rPr>
      </w:pPr>
      <w:proofErr w:type="gramStart"/>
      <w:r w:rsidRPr="00605F45">
        <w:rPr>
          <w:rFonts w:ascii="Arial Narrow" w:hAnsi="Arial Narrow"/>
          <w:sz w:val="18"/>
          <w:szCs w:val="18"/>
          <w:lang w:val="fr-CA"/>
        </w:rPr>
        <w:t>les</w:t>
      </w:r>
      <w:proofErr w:type="gramEnd"/>
      <w:r w:rsidRPr="00605F45">
        <w:rPr>
          <w:rFonts w:ascii="Arial Narrow" w:hAnsi="Arial Narrow"/>
          <w:sz w:val="18"/>
          <w:szCs w:val="18"/>
          <w:lang w:val="fr-CA"/>
        </w:rPr>
        <w:t xml:space="preserve"> coûts reliés à l’achat et à l’installation d’équipements nécessaires à la structuration de l’offre; </w:t>
      </w:r>
    </w:p>
    <w:p w14:paraId="4B82C37A" w14:textId="77777777" w:rsidR="00902A37" w:rsidRPr="00605F45" w:rsidRDefault="00902A37" w:rsidP="00902A37">
      <w:pPr>
        <w:pStyle w:val="Niveau2texte"/>
        <w:keepLines w:val="0"/>
        <w:widowControl/>
        <w:numPr>
          <w:ilvl w:val="0"/>
          <w:numId w:val="14"/>
        </w:numPr>
        <w:spacing w:before="20" w:after="0"/>
        <w:ind w:left="284" w:hanging="284"/>
        <w:jc w:val="both"/>
        <w:rPr>
          <w:rFonts w:ascii="Arial Narrow" w:hAnsi="Arial Narrow"/>
          <w:sz w:val="18"/>
          <w:szCs w:val="18"/>
          <w:lang w:val="fr-CA"/>
        </w:rPr>
      </w:pPr>
      <w:r w:rsidRPr="00605F45">
        <w:rPr>
          <w:rFonts w:ascii="Arial Narrow" w:hAnsi="Arial Narrow"/>
          <w:sz w:val="18"/>
          <w:szCs w:val="18"/>
          <w:lang w:val="fr-CA"/>
        </w:rPr>
        <w:t>Les taxes nettes (excluant la partie remboursée) afférentes aux coûts admissibles.</w:t>
      </w:r>
    </w:p>
    <w:p w14:paraId="72920479" w14:textId="5AA7CDD8" w:rsidR="00902A37" w:rsidRPr="00605F45" w:rsidRDefault="00902A37" w:rsidP="00902A37">
      <w:pPr>
        <w:pStyle w:val="Niveau2texte"/>
        <w:keepLines w:val="0"/>
        <w:widowControl/>
        <w:numPr>
          <w:ilvl w:val="0"/>
          <w:numId w:val="14"/>
        </w:numPr>
        <w:spacing w:before="20" w:after="0"/>
        <w:ind w:left="284" w:hanging="284"/>
        <w:jc w:val="both"/>
        <w:rPr>
          <w:rFonts w:ascii="Arial Narrow" w:hAnsi="Arial Narrow"/>
          <w:sz w:val="18"/>
          <w:szCs w:val="18"/>
          <w:lang w:val="fr-CA"/>
        </w:rPr>
      </w:pPr>
      <w:r w:rsidRPr="00605F45">
        <w:rPr>
          <w:rFonts w:ascii="Arial Narrow" w:hAnsi="Arial Narrow"/>
          <w:sz w:val="18"/>
          <w:szCs w:val="18"/>
          <w:lang w:val="fr-CA"/>
        </w:rPr>
        <w:t>Les honoraires professionnels (CPA) pour reddition de compte uniquement (si applicable).</w:t>
      </w:r>
    </w:p>
    <w:p w14:paraId="069CAE20" w14:textId="26256224" w:rsidR="00F55BF4" w:rsidRDefault="00F55BF4" w:rsidP="009F145B">
      <w:pPr>
        <w:pBdr>
          <w:bottom w:val="single" w:sz="4" w:space="1" w:color="auto"/>
        </w:pBdr>
        <w:spacing w:before="240" w:after="60"/>
        <w:jc w:val="both"/>
        <w:rPr>
          <w:rFonts w:ascii="Arial Narrow" w:hAnsi="Arial Narrow" w:cs="Arial"/>
          <w:color w:val="1F3864" w:themeColor="accent1" w:themeShade="80"/>
        </w:rPr>
      </w:pPr>
    </w:p>
    <w:p w14:paraId="1E2DD5F4" w14:textId="77777777" w:rsidR="0030288C" w:rsidRDefault="0030288C" w:rsidP="009F145B">
      <w:pPr>
        <w:pBdr>
          <w:bottom w:val="single" w:sz="4" w:space="1" w:color="auto"/>
        </w:pBdr>
        <w:spacing w:before="240" w:after="60"/>
        <w:jc w:val="both"/>
        <w:rPr>
          <w:rFonts w:ascii="Arial Narrow" w:hAnsi="Arial Narrow" w:cs="Arial"/>
          <w:color w:val="1F3864" w:themeColor="accent1" w:themeShade="80"/>
        </w:rPr>
      </w:pPr>
    </w:p>
    <w:p w14:paraId="3D325A3B" w14:textId="77777777" w:rsidR="00605F45" w:rsidRDefault="00605F45" w:rsidP="009F145B">
      <w:pPr>
        <w:pBdr>
          <w:bottom w:val="single" w:sz="4" w:space="1" w:color="auto"/>
        </w:pBdr>
        <w:spacing w:before="240" w:after="60"/>
        <w:jc w:val="both"/>
        <w:rPr>
          <w:rFonts w:ascii="Arial Narrow" w:hAnsi="Arial Narrow" w:cs="Arial"/>
          <w:color w:val="1F3864" w:themeColor="accent1" w:themeShade="80"/>
        </w:rPr>
      </w:pPr>
    </w:p>
    <w:p w14:paraId="0705DF74" w14:textId="77777777" w:rsidR="00605F45" w:rsidRDefault="00605F45" w:rsidP="009F145B">
      <w:pPr>
        <w:pBdr>
          <w:bottom w:val="single" w:sz="4" w:space="1" w:color="auto"/>
        </w:pBdr>
        <w:spacing w:before="240" w:after="60"/>
        <w:jc w:val="both"/>
        <w:rPr>
          <w:rFonts w:ascii="Arial Narrow" w:hAnsi="Arial Narrow" w:cs="Arial"/>
          <w:color w:val="1F3864" w:themeColor="accent1" w:themeShade="80"/>
        </w:rPr>
      </w:pPr>
    </w:p>
    <w:p w14:paraId="76093489" w14:textId="3CCC1E51" w:rsidR="00F55BF4" w:rsidRDefault="00F55BF4" w:rsidP="009F145B">
      <w:pPr>
        <w:pBdr>
          <w:bottom w:val="single" w:sz="4" w:space="1" w:color="auto"/>
        </w:pBdr>
        <w:spacing w:before="240" w:after="60"/>
        <w:jc w:val="both"/>
        <w:rPr>
          <w:rFonts w:ascii="Arial Narrow" w:hAnsi="Arial Narrow" w:cs="Arial"/>
          <w:color w:val="1F3864" w:themeColor="accent1" w:themeShade="80"/>
        </w:rPr>
      </w:pPr>
    </w:p>
    <w:p w14:paraId="56C06BAC" w14:textId="6B221A11" w:rsidR="009F145B" w:rsidRPr="00DD2544" w:rsidRDefault="009F145B" w:rsidP="00685502">
      <w:pPr>
        <w:pBdr>
          <w:bottom w:val="single" w:sz="4" w:space="1" w:color="auto"/>
        </w:pBdr>
        <w:spacing w:before="200" w:after="60"/>
        <w:jc w:val="both"/>
        <w:rPr>
          <w:rFonts w:ascii="Arial Narrow" w:hAnsi="Arial Narrow" w:cs="Arial"/>
          <w:b/>
          <w:i/>
          <w:iCs/>
          <w:color w:val="1F3864" w:themeColor="accent1" w:themeShade="80"/>
          <w:szCs w:val="22"/>
        </w:rPr>
      </w:pPr>
      <w:r w:rsidRPr="00DD2544">
        <w:rPr>
          <w:rFonts w:ascii="Arial Narrow" w:hAnsi="Arial Narrow" w:cs="Arial"/>
          <w:b/>
          <w:i/>
          <w:iCs/>
          <w:color w:val="1F3864" w:themeColor="accent1" w:themeShade="80"/>
          <w:szCs w:val="22"/>
        </w:rPr>
        <w:t>PROJETS NON ADMISSIBLES</w:t>
      </w:r>
    </w:p>
    <w:p w14:paraId="7DAFDAA2" w14:textId="77777777" w:rsidR="00736332" w:rsidRPr="00D153C4"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Pr>
          <w:rFonts w:ascii="Arial Narrow" w:hAnsi="Arial Narrow"/>
          <w:sz w:val="18"/>
          <w:szCs w:val="18"/>
          <w:lang w:val="fr-CA"/>
        </w:rPr>
        <w:t>L</w:t>
      </w:r>
      <w:r w:rsidRPr="008251E7">
        <w:rPr>
          <w:rFonts w:ascii="Arial Narrow" w:hAnsi="Arial Narrow"/>
          <w:sz w:val="18"/>
          <w:szCs w:val="18"/>
          <w:lang w:val="fr-CA"/>
        </w:rPr>
        <w:t xml:space="preserve">es </w:t>
      </w:r>
      <w:r w:rsidRPr="00D153C4">
        <w:rPr>
          <w:rFonts w:ascii="Arial Narrow" w:hAnsi="Arial Narrow"/>
          <w:sz w:val="18"/>
          <w:szCs w:val="18"/>
          <w:lang w:val="fr-CA"/>
        </w:rPr>
        <w:t>gîtes touristiques;</w:t>
      </w:r>
    </w:p>
    <w:p w14:paraId="5E638770"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rPr>
      </w:pPr>
      <w:r w:rsidRPr="007E2143">
        <w:rPr>
          <w:rFonts w:ascii="Arial Narrow" w:hAnsi="Arial Narrow"/>
          <w:sz w:val="18"/>
          <w:szCs w:val="18"/>
        </w:rPr>
        <w:t xml:space="preserve">Les </w:t>
      </w:r>
      <w:proofErr w:type="spellStart"/>
      <w:r w:rsidRPr="007E2143">
        <w:rPr>
          <w:rFonts w:ascii="Arial Narrow" w:hAnsi="Arial Narrow"/>
          <w:sz w:val="18"/>
          <w:szCs w:val="18"/>
        </w:rPr>
        <w:t>copropriétés</w:t>
      </w:r>
      <w:proofErr w:type="spellEnd"/>
      <w:r w:rsidRPr="007E2143">
        <w:rPr>
          <w:rFonts w:ascii="Arial Narrow" w:hAnsi="Arial Narrow"/>
          <w:sz w:val="18"/>
          <w:szCs w:val="18"/>
        </w:rPr>
        <w:t xml:space="preserve"> </w:t>
      </w:r>
      <w:proofErr w:type="spellStart"/>
      <w:r w:rsidRPr="007E2143">
        <w:rPr>
          <w:rFonts w:ascii="Arial Narrow" w:hAnsi="Arial Narrow"/>
          <w:sz w:val="18"/>
          <w:szCs w:val="18"/>
        </w:rPr>
        <w:t>hôtelières</w:t>
      </w:r>
      <w:proofErr w:type="spellEnd"/>
      <w:r w:rsidRPr="007E2143">
        <w:rPr>
          <w:rFonts w:ascii="Arial Narrow" w:hAnsi="Arial Narrow"/>
          <w:sz w:val="18"/>
          <w:szCs w:val="18"/>
        </w:rPr>
        <w:t xml:space="preserve"> (condotels</w:t>
      </w:r>
      <w:proofErr w:type="gramStart"/>
      <w:r w:rsidRPr="007E2143">
        <w:rPr>
          <w:rFonts w:ascii="Arial Narrow" w:hAnsi="Arial Narrow"/>
          <w:sz w:val="18"/>
          <w:szCs w:val="18"/>
        </w:rPr>
        <w:t>);</w:t>
      </w:r>
      <w:proofErr w:type="gramEnd"/>
    </w:p>
    <w:p w14:paraId="2B4FC701"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pistes cyclables;</w:t>
      </w:r>
    </w:p>
    <w:p w14:paraId="2E9239BF"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sentiers de motoneige;</w:t>
      </w:r>
    </w:p>
    <w:p w14:paraId="3ABE19B2"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secteurs de la restauration et du commerce de détail;</w:t>
      </w:r>
    </w:p>
    <w:p w14:paraId="29EC9C2E"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 développement de contenu de formation;</w:t>
      </w:r>
    </w:p>
    <w:p w14:paraId="7530545E"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 xml:space="preserve">Le secteur des jeux de hasard; </w:t>
      </w:r>
    </w:p>
    <w:p w14:paraId="5A219B2C"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lieux dédiés à la vente et à la consommation d’alcool;</w:t>
      </w:r>
    </w:p>
    <w:p w14:paraId="564ADF18"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projets présentant une majorité de coûts liés à la mise à niveau, à l’entretien ou au remplacement des infrastructures ou équipements existants;</w:t>
      </w:r>
    </w:p>
    <w:p w14:paraId="115D7C14"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lang w:val="fr-CA"/>
        </w:rPr>
        <w:t>Les projets déjà réalisés ou en cours de réalisation au moment de la date du dépôt de la demande;</w:t>
      </w:r>
    </w:p>
    <w:p w14:paraId="4A6DD55F" w14:textId="77777777" w:rsidR="00736332" w:rsidRPr="007E2143"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7E2143">
        <w:rPr>
          <w:rFonts w:ascii="Arial Narrow" w:hAnsi="Arial Narrow"/>
          <w:sz w:val="18"/>
          <w:szCs w:val="18"/>
        </w:rPr>
        <w:t>L</w:t>
      </w:r>
      <w:r w:rsidRPr="007E2143">
        <w:rPr>
          <w:rFonts w:ascii="Arial Narrow" w:hAnsi="Arial Narrow"/>
          <w:sz w:val="18"/>
          <w:szCs w:val="18"/>
          <w:lang w:val="fr-CA"/>
        </w:rPr>
        <w:t xml:space="preserve">acquisition </w:t>
      </w:r>
      <w:proofErr w:type="gramStart"/>
      <w:r w:rsidRPr="007E2143">
        <w:rPr>
          <w:rFonts w:ascii="Arial Narrow" w:hAnsi="Arial Narrow"/>
          <w:sz w:val="18"/>
          <w:szCs w:val="18"/>
          <w:lang w:val="fr-CA"/>
        </w:rPr>
        <w:t>d’entreprise;</w:t>
      </w:r>
      <w:proofErr w:type="gramEnd"/>
    </w:p>
    <w:p w14:paraId="729F69A3" w14:textId="77777777" w:rsidR="00736332" w:rsidRPr="00883C81"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Pr>
          <w:rFonts w:ascii="Arial Narrow" w:hAnsi="Arial Narrow"/>
          <w:sz w:val="18"/>
          <w:szCs w:val="18"/>
          <w:lang w:val="fr-CA"/>
        </w:rPr>
        <w:t>L</w:t>
      </w:r>
      <w:r w:rsidRPr="00481040">
        <w:rPr>
          <w:rFonts w:ascii="Arial Narrow" w:hAnsi="Arial Narrow"/>
          <w:sz w:val="18"/>
          <w:szCs w:val="18"/>
          <w:lang w:val="fr-CA"/>
        </w:rPr>
        <w:t>es</w:t>
      </w:r>
      <w:r>
        <w:rPr>
          <w:rFonts w:ascii="Arial Narrow" w:hAnsi="Arial Narrow"/>
          <w:sz w:val="18"/>
          <w:szCs w:val="18"/>
          <w:lang w:val="fr-CA"/>
        </w:rPr>
        <w:t xml:space="preserve"> projets </w:t>
      </w:r>
      <w:r w:rsidRPr="00D153C4">
        <w:rPr>
          <w:rFonts w:ascii="Arial Narrow" w:hAnsi="Arial Narrow"/>
          <w:sz w:val="18"/>
          <w:szCs w:val="18"/>
          <w:lang w:val="fr-CA"/>
        </w:rPr>
        <w:t xml:space="preserve">de plans </w:t>
      </w:r>
      <w:r w:rsidRPr="00883C81">
        <w:rPr>
          <w:rFonts w:ascii="Arial Narrow" w:hAnsi="Arial Narrow"/>
          <w:sz w:val="18"/>
          <w:szCs w:val="18"/>
          <w:lang w:val="fr-CA"/>
        </w:rPr>
        <w:t>d’affaires, de plans marketing, de plans de développement local et régional récurrents;</w:t>
      </w:r>
    </w:p>
    <w:p w14:paraId="68A48108" w14:textId="77777777" w:rsidR="00736332" w:rsidRPr="00F81896"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Pr>
          <w:rFonts w:ascii="Arial Narrow" w:hAnsi="Arial Narrow"/>
          <w:sz w:val="18"/>
          <w:szCs w:val="18"/>
          <w:lang w:val="fr-CA"/>
        </w:rPr>
        <w:t>L</w:t>
      </w:r>
      <w:r w:rsidRPr="008251E7">
        <w:rPr>
          <w:rFonts w:ascii="Arial Narrow" w:hAnsi="Arial Narrow"/>
          <w:sz w:val="18"/>
          <w:szCs w:val="18"/>
          <w:lang w:val="fr-CA"/>
        </w:rPr>
        <w:t>e</w:t>
      </w:r>
      <w:r w:rsidRPr="00D153C4">
        <w:rPr>
          <w:rFonts w:ascii="Arial Narrow" w:hAnsi="Arial Narrow"/>
          <w:sz w:val="18"/>
          <w:szCs w:val="18"/>
          <w:lang w:val="fr-CA"/>
        </w:rPr>
        <w:t xml:space="preserve">s études et sondages requis pour adresser une demande d’aide financière à d’autres programmes ou pour répondre aux exigences d’un </w:t>
      </w:r>
      <w:r w:rsidRPr="00F81896">
        <w:rPr>
          <w:rFonts w:ascii="Arial Narrow" w:hAnsi="Arial Narrow"/>
          <w:sz w:val="18"/>
          <w:szCs w:val="18"/>
          <w:lang w:val="fr-CA"/>
        </w:rPr>
        <w:t>autre ministère.</w:t>
      </w:r>
    </w:p>
    <w:p w14:paraId="09F702A0" w14:textId="77777777" w:rsidR="00736332" w:rsidRPr="00556941" w:rsidRDefault="00736332" w:rsidP="00736332">
      <w:pPr>
        <w:pStyle w:val="Niveau2texte"/>
        <w:keepLines w:val="0"/>
        <w:widowControl/>
        <w:numPr>
          <w:ilvl w:val="0"/>
          <w:numId w:val="19"/>
        </w:numPr>
        <w:spacing w:before="20" w:after="0"/>
        <w:ind w:left="270" w:hanging="270"/>
        <w:jc w:val="both"/>
        <w:rPr>
          <w:rFonts w:ascii="Arial Narrow" w:hAnsi="Arial Narrow"/>
          <w:sz w:val="18"/>
          <w:szCs w:val="18"/>
          <w:lang w:val="fr-CA"/>
        </w:rPr>
      </w:pPr>
      <w:r w:rsidRPr="00556941">
        <w:rPr>
          <w:rFonts w:ascii="Arial Narrow" w:hAnsi="Arial Narrow"/>
          <w:sz w:val="18"/>
          <w:szCs w:val="18"/>
          <w:lang w:val="fr-CA"/>
        </w:rPr>
        <w:t>Les projets bénéficiant d’une aide financière non remboursable provenant du Programme d’aide à la relance de l’industrie touristique (PARIT) ou de tout autre programme mis en place par le MTO et ses partenaires – à valider avec DQc.</w:t>
      </w:r>
    </w:p>
    <w:p w14:paraId="6130E8E0" w14:textId="35AD781B" w:rsidR="009F145B" w:rsidRPr="00604057" w:rsidRDefault="009F145B" w:rsidP="009F145B">
      <w:pPr>
        <w:pStyle w:val="Niveau2texte"/>
        <w:keepLines w:val="0"/>
        <w:widowControl/>
        <w:spacing w:before="60" w:after="0"/>
        <w:ind w:left="0"/>
        <w:jc w:val="both"/>
        <w:rPr>
          <w:rFonts w:ascii="Arial Narrow" w:hAnsi="Arial Narrow"/>
          <w:sz w:val="18"/>
          <w:szCs w:val="18"/>
          <w:lang w:val="fr-CA"/>
        </w:rPr>
      </w:pPr>
      <w:r w:rsidRPr="00604057">
        <w:rPr>
          <w:rFonts w:ascii="Arial Narrow" w:hAnsi="Arial Narrow"/>
          <w:sz w:val="18"/>
          <w:szCs w:val="18"/>
          <w:lang w:val="fr-CA"/>
        </w:rPr>
        <w:t>Nonobstant ce qui précède, une intervention financière peut prendre en compte, dans le cadre d’un projet d’agrotourisme ou de tourisme gourmand, les travaux reliés aux installations et aux équipements requis pour la vente des produits découlant de ces types de projets, ces composantes étant essentielles à l’expérience touristique offerte aux visiteurs dans ce domaine.</w:t>
      </w:r>
    </w:p>
    <w:p w14:paraId="2C62BEFB" w14:textId="77777777" w:rsidR="009F145B" w:rsidRDefault="009F145B" w:rsidP="009F145B">
      <w:pPr>
        <w:pStyle w:val="Niveau2texte"/>
        <w:keepLines w:val="0"/>
        <w:widowControl/>
        <w:spacing w:before="60" w:after="0"/>
        <w:ind w:left="0"/>
        <w:jc w:val="both"/>
        <w:rPr>
          <w:rFonts w:ascii="Arial Narrow" w:hAnsi="Arial Narrow"/>
          <w:lang w:val="fr-CA"/>
        </w:rPr>
      </w:pPr>
      <w:r w:rsidRPr="00604057">
        <w:rPr>
          <w:rFonts w:ascii="Arial Narrow" w:hAnsi="Arial Narrow"/>
          <w:sz w:val="18"/>
          <w:szCs w:val="18"/>
          <w:lang w:val="fr-CA"/>
        </w:rPr>
        <w:t>De même, les éléments afférents à la restauration peuvent être pris en compte lorsqu’ils s’inscrivent dans un projet global d’amélioration ou de développement de l’expérience touristique</w:t>
      </w:r>
      <w:r w:rsidRPr="00DD2544">
        <w:rPr>
          <w:rFonts w:ascii="Arial Narrow" w:hAnsi="Arial Narrow"/>
          <w:lang w:val="fr-CA"/>
        </w:rPr>
        <w:t>.</w:t>
      </w:r>
    </w:p>
    <w:p w14:paraId="7B460866" w14:textId="77777777" w:rsidR="00B5411C" w:rsidRPr="00DD2544" w:rsidRDefault="00B5411C" w:rsidP="009F145B">
      <w:pPr>
        <w:pStyle w:val="Niveau2texte"/>
        <w:keepLines w:val="0"/>
        <w:widowControl/>
        <w:spacing w:before="60" w:after="0"/>
        <w:ind w:left="0"/>
        <w:jc w:val="both"/>
        <w:rPr>
          <w:rFonts w:ascii="Arial Narrow" w:hAnsi="Arial Narrow"/>
          <w:lang w:val="fr-CA"/>
        </w:rPr>
      </w:pPr>
    </w:p>
    <w:p w14:paraId="14D9246A" w14:textId="77777777" w:rsidR="00902A37" w:rsidRPr="00660DB9" w:rsidRDefault="00902A37" w:rsidP="00685502">
      <w:pPr>
        <w:pBdr>
          <w:bottom w:val="single" w:sz="4" w:space="1" w:color="auto"/>
        </w:pBdr>
        <w:spacing w:before="200" w:after="60"/>
        <w:jc w:val="both"/>
        <w:rPr>
          <w:rFonts w:ascii="Arial Narrow" w:hAnsi="Arial Narrow"/>
          <w:b/>
          <w:i/>
          <w:iCs/>
          <w:color w:val="1F3864" w:themeColor="accent1" w:themeShade="80"/>
        </w:rPr>
      </w:pPr>
      <w:r w:rsidRPr="00660DB9">
        <w:rPr>
          <w:rFonts w:ascii="Arial Narrow" w:hAnsi="Arial Narrow"/>
          <w:b/>
          <w:i/>
          <w:iCs/>
          <w:color w:val="1F3864" w:themeColor="accent1" w:themeShade="80"/>
        </w:rPr>
        <w:t>COÛTS NON ADMISSIBLES</w:t>
      </w:r>
    </w:p>
    <w:p w14:paraId="6956A171" w14:textId="77777777" w:rsidR="00902A37" w:rsidRPr="00605F45" w:rsidRDefault="00902A37" w:rsidP="00902A37">
      <w:pPr>
        <w:pStyle w:val="Niveau2texte"/>
        <w:keepLines w:val="0"/>
        <w:widowControl/>
        <w:numPr>
          <w:ilvl w:val="0"/>
          <w:numId w:val="14"/>
        </w:numPr>
        <w:spacing w:before="0" w:after="0"/>
        <w:ind w:left="284" w:hanging="284"/>
        <w:jc w:val="both"/>
        <w:rPr>
          <w:rFonts w:ascii="Arial Narrow" w:hAnsi="Arial Narrow"/>
          <w:sz w:val="18"/>
          <w:szCs w:val="18"/>
          <w:lang w:val="fr-CA"/>
        </w:rPr>
      </w:pPr>
      <w:r w:rsidRPr="00605F45">
        <w:rPr>
          <w:rFonts w:ascii="Arial Narrow" w:hAnsi="Arial Narrow"/>
          <w:sz w:val="18"/>
          <w:szCs w:val="18"/>
          <w:lang w:val="fr-CA"/>
        </w:rPr>
        <w:t>Les coûts d’acquisition de matériel de transport motorisé non dédié à l’expérience du visiteur;</w:t>
      </w:r>
    </w:p>
    <w:p w14:paraId="3B7C48F6"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coûts reliés au fonds de roulement, au service de la dette, aux pertes d’opérations, aux pertes en capital et au rachat de capital;</w:t>
      </w:r>
    </w:p>
    <w:p w14:paraId="2A07E833"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coûts reliés à la mise aux normes, au maintien d’actifs et à la conformité aux règlements;</w:t>
      </w:r>
    </w:p>
    <w:p w14:paraId="0C63B669"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La partie de la taxe de vente du Québec et la partie de la taxe sur les produits et les services ainsi que les coûts pour lesquels l’entreprise (ou une tierce partie) a droit à un remboursement;</w:t>
      </w:r>
    </w:p>
    <w:p w14:paraId="6859915D"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dons et les contributions en nature ou en services;</w:t>
      </w:r>
    </w:p>
    <w:p w14:paraId="4F2A97F7"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transferts d’actifs;</w:t>
      </w:r>
    </w:p>
    <w:p w14:paraId="3014D040" w14:textId="283E3D64"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 xml:space="preserve">Les frais de fonctionnement, d’exploitation ou d’administration </w:t>
      </w:r>
      <w:r w:rsidR="007435F8">
        <w:rPr>
          <w:rFonts w:ascii="Arial Narrow" w:hAnsi="Arial Narrow" w:cs="Arial"/>
          <w:sz w:val="18"/>
          <w:szCs w:val="18"/>
        </w:rPr>
        <w:t>(</w:t>
      </w:r>
      <w:r w:rsidRPr="00605F45">
        <w:rPr>
          <w:rFonts w:ascii="Arial Narrow" w:hAnsi="Arial Narrow" w:cs="Arial"/>
          <w:sz w:val="18"/>
          <w:szCs w:val="18"/>
        </w:rPr>
        <w:t>directs</w:t>
      </w:r>
      <w:r w:rsidR="007435F8">
        <w:rPr>
          <w:rFonts w:ascii="Arial Narrow" w:hAnsi="Arial Narrow" w:cs="Arial"/>
          <w:sz w:val="18"/>
          <w:szCs w:val="18"/>
        </w:rPr>
        <w:t>/</w:t>
      </w:r>
      <w:r w:rsidRPr="00605F45">
        <w:rPr>
          <w:rFonts w:ascii="Arial Narrow" w:hAnsi="Arial Narrow" w:cs="Arial"/>
          <w:sz w:val="18"/>
          <w:szCs w:val="18"/>
        </w:rPr>
        <w:t>indirects</w:t>
      </w:r>
      <w:r w:rsidR="00960D05">
        <w:rPr>
          <w:rFonts w:ascii="Arial Narrow" w:hAnsi="Arial Narrow" w:cs="Arial"/>
          <w:sz w:val="18"/>
          <w:szCs w:val="18"/>
        </w:rPr>
        <w:t>)</w:t>
      </w:r>
      <w:r w:rsidRPr="00605F45">
        <w:rPr>
          <w:rFonts w:ascii="Arial Narrow" w:hAnsi="Arial Narrow" w:cs="Arial"/>
          <w:sz w:val="18"/>
          <w:szCs w:val="18"/>
        </w:rPr>
        <w:t>;</w:t>
      </w:r>
    </w:p>
    <w:p w14:paraId="2985E1D8"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frais usuels d’entretien et ceux liés à l’exploitation;</w:t>
      </w:r>
    </w:p>
    <w:p w14:paraId="1035F6F6"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frais de financement;</w:t>
      </w:r>
    </w:p>
    <w:p w14:paraId="014FE688"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La rémunération versée à un lobbyiste;</w:t>
      </w:r>
    </w:p>
    <w:p w14:paraId="714B947E"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coûts pour lesquels l’entreprise a pris des engagements contractuels avant le dépôt de la demande d’aide financière (à l’exception des honoraires relatifs à l’élaboration du projet);</w:t>
      </w:r>
    </w:p>
    <w:p w14:paraId="7B8CA29A"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frais de promotion, de publicité et de marketing;</w:t>
      </w:r>
    </w:p>
    <w:p w14:paraId="5D46EAD9"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dépassements de coûts;</w:t>
      </w:r>
    </w:p>
    <w:p w14:paraId="04AC7F3F" w14:textId="77777777" w:rsidR="00902A37" w:rsidRPr="00605F45" w:rsidRDefault="00902A37" w:rsidP="00902A3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05F45">
        <w:rPr>
          <w:rFonts w:ascii="Arial Narrow" w:hAnsi="Arial Narrow" w:cs="Arial"/>
          <w:sz w:val="18"/>
          <w:szCs w:val="18"/>
        </w:rPr>
        <w:t>Les frais juridiques.</w:t>
      </w:r>
    </w:p>
    <w:p w14:paraId="5631BDCD" w14:textId="5C0669A0" w:rsidR="00854CE1" w:rsidRPr="00730E89" w:rsidRDefault="00902A37" w:rsidP="0020509A">
      <w:pPr>
        <w:widowControl w:val="0"/>
        <w:numPr>
          <w:ilvl w:val="1"/>
          <w:numId w:val="5"/>
        </w:numPr>
        <w:tabs>
          <w:tab w:val="clear" w:pos="1260"/>
          <w:tab w:val="left" w:pos="276"/>
        </w:tabs>
        <w:autoSpaceDE w:val="0"/>
        <w:autoSpaceDN w:val="0"/>
        <w:adjustRightInd w:val="0"/>
        <w:spacing w:before="20" w:after="160" w:line="259" w:lineRule="auto"/>
        <w:ind w:left="278" w:hanging="284"/>
        <w:jc w:val="both"/>
        <w:rPr>
          <w:rFonts w:ascii="Arial Narrow" w:hAnsi="Arial Narrow" w:cs="Arial"/>
          <w:b/>
          <w:i/>
          <w:iCs/>
          <w:color w:val="1F3864" w:themeColor="accent1" w:themeShade="80"/>
          <w:szCs w:val="22"/>
        </w:rPr>
      </w:pPr>
      <w:r w:rsidRPr="00730E89">
        <w:rPr>
          <w:rFonts w:ascii="Arial Narrow" w:hAnsi="Arial Narrow" w:cs="Arial"/>
          <w:sz w:val="18"/>
          <w:szCs w:val="18"/>
        </w:rPr>
        <w:t>Les frais de contingences.</w:t>
      </w:r>
      <w:r w:rsidR="00854CE1" w:rsidRPr="00730E89">
        <w:rPr>
          <w:rFonts w:ascii="Arial Narrow" w:hAnsi="Arial Narrow" w:cs="Arial"/>
          <w:b/>
          <w:i/>
          <w:iCs/>
          <w:color w:val="1F3864" w:themeColor="accent1" w:themeShade="80"/>
          <w:szCs w:val="22"/>
        </w:rPr>
        <w:br w:type="page"/>
      </w:r>
    </w:p>
    <w:p w14:paraId="3CD56D13" w14:textId="193E9F42" w:rsidR="009E05C9" w:rsidRPr="00DD2544" w:rsidRDefault="009E05C9" w:rsidP="1F15354A">
      <w:pPr>
        <w:pBdr>
          <w:bottom w:val="single" w:sz="4" w:space="1" w:color="auto"/>
        </w:pBdr>
        <w:spacing w:before="240" w:after="60"/>
        <w:jc w:val="both"/>
        <w:rPr>
          <w:rFonts w:ascii="Arial Narrow" w:hAnsi="Arial Narrow" w:cs="Arial"/>
          <w:b/>
          <w:bCs/>
          <w:i/>
          <w:iCs/>
          <w:color w:val="1F3864" w:themeColor="accent1" w:themeShade="80"/>
        </w:rPr>
      </w:pPr>
      <w:r w:rsidRPr="1F15354A">
        <w:rPr>
          <w:rFonts w:ascii="Arial Narrow" w:hAnsi="Arial Narrow" w:cs="Arial"/>
          <w:b/>
          <w:bCs/>
          <w:i/>
          <w:iCs/>
          <w:color w:val="1F3864" w:themeColor="accent1" w:themeShade="80"/>
        </w:rPr>
        <w:lastRenderedPageBreak/>
        <w:t>CRITÈRES D</w:t>
      </w:r>
      <w:r w:rsidR="3876094D" w:rsidRPr="1F15354A">
        <w:rPr>
          <w:rFonts w:ascii="Arial Narrow" w:hAnsi="Arial Narrow" w:cs="Arial"/>
          <w:b/>
          <w:bCs/>
          <w:i/>
          <w:iCs/>
          <w:color w:val="1F3864" w:themeColor="accent1" w:themeShade="80"/>
        </w:rPr>
        <w:t>'ANALYSES</w:t>
      </w:r>
      <w:r w:rsidRPr="1F15354A">
        <w:rPr>
          <w:rFonts w:ascii="Arial Narrow" w:hAnsi="Arial Narrow" w:cs="Arial"/>
          <w:b/>
          <w:bCs/>
          <w:i/>
          <w:iCs/>
          <w:color w:val="1F3864" w:themeColor="accent1" w:themeShade="80"/>
        </w:rPr>
        <w:t xml:space="preserve"> DES PROJETS</w:t>
      </w:r>
    </w:p>
    <w:p w14:paraId="04DC0E60"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L’adéquation avec les objectifs, les orientations stratégiques et les expériences touristiques prioritaires identifiés au programme;</w:t>
      </w:r>
    </w:p>
    <w:p w14:paraId="09203D5D"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Le caractère structurant (pouvoir d’attraction, portée du projet, retombées, concertation avec d’autres partenaires, création d’emplois, étalement de la saison, etc.);</w:t>
      </w:r>
    </w:p>
    <w:p w14:paraId="34DECD03"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Le caractère novateur;</w:t>
      </w:r>
    </w:p>
    <w:p w14:paraId="626BB6B7"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 contribution à la marque touristique de la destination;</w:t>
      </w:r>
    </w:p>
    <w:p w14:paraId="594D8762"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 qualité en matière de concept, de produits et de services;</w:t>
      </w:r>
    </w:p>
    <w:p w14:paraId="0E4FB2F1"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 structure et le montage financiers;</w:t>
      </w:r>
    </w:p>
    <w:p w14:paraId="22907017"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 pertinence (clientèle significativement touristique et sa diversification, marché, concurrence, qualité de l’offre, stratégie de marketing, maillage, etc.);</w:t>
      </w:r>
    </w:p>
    <w:p w14:paraId="1A28E019"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La faisabilité (échéancier, stratégie de marketing, qualité du plan d’affaires ou du devis d’études, expertise du promoteur);</w:t>
      </w:r>
    </w:p>
    <w:p w14:paraId="2D29EC56" w14:textId="77777777" w:rsidR="002C5781" w:rsidRPr="007D3F8C"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7D3F8C">
        <w:rPr>
          <w:rFonts w:ascii="Arial Narrow" w:hAnsi="Arial Narrow"/>
          <w:sz w:val="18"/>
          <w:szCs w:val="18"/>
          <w:lang w:val="fr-CA"/>
        </w:rPr>
        <w:t>L’intégration et l’appui du milieu (maillage, etc.);</w:t>
      </w:r>
    </w:p>
    <w:p w14:paraId="3C5C5D22" w14:textId="77777777" w:rsidR="002C5781" w:rsidRPr="000A598B" w:rsidRDefault="002C5781" w:rsidP="002C5781">
      <w:pPr>
        <w:pStyle w:val="Niveau2texte"/>
        <w:keepLines w:val="0"/>
        <w:widowControl/>
        <w:numPr>
          <w:ilvl w:val="0"/>
          <w:numId w:val="1"/>
        </w:numPr>
        <w:spacing w:before="20" w:after="0"/>
        <w:jc w:val="both"/>
        <w:rPr>
          <w:rFonts w:ascii="Arial Narrow" w:hAnsi="Arial Narrow"/>
          <w:sz w:val="18"/>
          <w:szCs w:val="18"/>
          <w:lang w:val="fr-CA"/>
        </w:rPr>
      </w:pPr>
      <w:r w:rsidRPr="008571D0">
        <w:rPr>
          <w:rFonts w:ascii="Arial Narrow" w:hAnsi="Arial Narrow"/>
          <w:sz w:val="18"/>
          <w:szCs w:val="18"/>
          <w:lang w:val="fr-CA"/>
        </w:rPr>
        <w:t>L’appréciation de la demande tiendra compte de l’approche globale proposée en matière de développement durable, incluant notamment l’intégration de solutions innovantes respectueuses de l’environnement ainsi que l’intégration de composantes sociales et écoresponsables.</w:t>
      </w:r>
    </w:p>
    <w:p w14:paraId="2380D4D2" w14:textId="77777777" w:rsidR="000B1E9E" w:rsidRPr="00D711F2" w:rsidRDefault="000B1E9E" w:rsidP="000B1E9E">
      <w:pPr>
        <w:pBdr>
          <w:bottom w:val="single" w:sz="4" w:space="1" w:color="auto"/>
        </w:pBdr>
        <w:spacing w:before="240" w:after="60"/>
        <w:jc w:val="both"/>
        <w:rPr>
          <w:rFonts w:ascii="Arial Narrow" w:hAnsi="Arial Narrow" w:cs="Arial"/>
          <w:b/>
          <w:i/>
          <w:iCs/>
          <w:color w:val="1F3864" w:themeColor="accent1" w:themeShade="80"/>
          <w:szCs w:val="22"/>
        </w:rPr>
      </w:pPr>
      <w:r w:rsidRPr="00D711F2">
        <w:rPr>
          <w:rFonts w:ascii="Arial Narrow" w:hAnsi="Arial Narrow" w:cs="Arial"/>
          <w:b/>
          <w:i/>
          <w:iCs/>
          <w:color w:val="1F3864" w:themeColor="accent1" w:themeShade="80"/>
          <w:szCs w:val="22"/>
        </w:rPr>
        <w:t>RÈGLES PARTICULIÈRES</w:t>
      </w:r>
    </w:p>
    <w:p w14:paraId="20714D5D" w14:textId="77777777" w:rsidR="000B1E9E" w:rsidRPr="006B15EC" w:rsidRDefault="000B1E9E" w:rsidP="000B1E9E">
      <w:pPr>
        <w:pStyle w:val="Niveau2texte"/>
        <w:keepLines w:val="0"/>
        <w:widowControl/>
        <w:spacing w:before="0" w:after="0"/>
        <w:ind w:left="0"/>
        <w:jc w:val="both"/>
        <w:rPr>
          <w:rFonts w:ascii="Arial Narrow" w:hAnsi="Arial Narrow"/>
          <w:b/>
          <w:smallCaps/>
          <w:sz w:val="20"/>
          <w:szCs w:val="20"/>
          <w:lang w:val="fr-CA"/>
        </w:rPr>
      </w:pPr>
      <w:hyperlink r:id="rId13" w:history="1">
        <w:r w:rsidRPr="006B15EC">
          <w:rPr>
            <w:rStyle w:val="Lienhypertexte"/>
            <w:rFonts w:ascii="Arial Narrow" w:hAnsi="Arial Narrow"/>
            <w:b/>
            <w:bCs/>
            <w:smallCaps/>
            <w:sz w:val="20"/>
            <w:szCs w:val="20"/>
            <w:lang w:val="fr-CA"/>
          </w:rPr>
          <w:t>Règles concernant l’adjudication des contrats</w:t>
        </w:r>
      </w:hyperlink>
    </w:p>
    <w:p w14:paraId="35B1B0CB" w14:textId="77777777" w:rsidR="000B1E9E" w:rsidRPr="00EF36BD" w:rsidRDefault="000B1E9E" w:rsidP="000B1E9E">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F36BD">
        <w:rPr>
          <w:rFonts w:ascii="Arial Narrow" w:hAnsi="Arial Narrow"/>
          <w:sz w:val="18"/>
          <w:szCs w:val="18"/>
          <w:lang w:val="fr-CA"/>
        </w:rPr>
        <w:t>L’aide financière octroyée à un projet est assortie de l’obligation de procéder à un appel d’offres public pour l’adjudication d’un contrat de construction lorsqu’il est de 100 000 $ ou plus.</w:t>
      </w:r>
    </w:p>
    <w:p w14:paraId="7CD82493" w14:textId="77777777" w:rsidR="000B1E9E" w:rsidRPr="00EF36BD" w:rsidRDefault="000B1E9E" w:rsidP="000B1E9E">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F36BD">
        <w:rPr>
          <w:rFonts w:ascii="Arial Narrow" w:hAnsi="Arial Narrow"/>
          <w:sz w:val="18"/>
          <w:szCs w:val="18"/>
          <w:lang w:val="fr-CA"/>
        </w:rPr>
        <w:t>Lorsque le bénéficiaire est une entité municipale, il est soumis aux dispositions législatives et réglementaires encadrant l’adjudication de contrats.</w:t>
      </w:r>
    </w:p>
    <w:p w14:paraId="0B000A86" w14:textId="77777777" w:rsidR="000B1E9E" w:rsidRPr="006B15EC" w:rsidRDefault="000B1E9E" w:rsidP="000B1E9E">
      <w:pPr>
        <w:pStyle w:val="Niveau2texte"/>
        <w:keepLines w:val="0"/>
        <w:widowControl/>
        <w:spacing w:before="60" w:after="0"/>
        <w:ind w:left="0"/>
        <w:jc w:val="both"/>
        <w:rPr>
          <w:rFonts w:ascii="Arial Narrow" w:hAnsi="Arial Narrow"/>
          <w:b/>
          <w:smallCaps/>
          <w:sz w:val="20"/>
          <w:szCs w:val="20"/>
          <w:lang w:val="fr-CA"/>
        </w:rPr>
      </w:pPr>
      <w:hyperlink r:id="rId14" w:history="1">
        <w:r w:rsidRPr="006B15EC">
          <w:rPr>
            <w:rStyle w:val="Lienhypertexte"/>
            <w:rFonts w:ascii="Arial Narrow" w:hAnsi="Arial Narrow"/>
            <w:b/>
            <w:bCs/>
            <w:smallCaps/>
            <w:sz w:val="20"/>
            <w:szCs w:val="20"/>
            <w:lang w:val="fr-CA"/>
          </w:rPr>
          <w:t>Politique d’intégration des arts à l’architecture et à l’environnement des bâtiments et des sites gouvernementaux et publics</w:t>
        </w:r>
      </w:hyperlink>
    </w:p>
    <w:p w14:paraId="1BA0788B" w14:textId="225C174E" w:rsidR="000B1E9E" w:rsidRPr="00EF36BD" w:rsidRDefault="000B1E9E" w:rsidP="000B1E9E">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F36BD">
        <w:rPr>
          <w:rFonts w:ascii="Arial Narrow" w:hAnsi="Arial Narrow"/>
          <w:sz w:val="18"/>
          <w:szCs w:val="18"/>
          <w:lang w:val="fr-CA"/>
        </w:rPr>
        <w:t xml:space="preserve">Sont assujettis à la politique tous </w:t>
      </w:r>
      <w:r w:rsidR="00A26B70" w:rsidRPr="00EF36BD">
        <w:rPr>
          <w:rFonts w:ascii="Arial Narrow" w:hAnsi="Arial Narrow"/>
          <w:sz w:val="18"/>
          <w:szCs w:val="18"/>
          <w:lang w:val="fr-CA"/>
        </w:rPr>
        <w:t xml:space="preserve">les </w:t>
      </w:r>
      <w:r w:rsidRPr="00EF36BD">
        <w:rPr>
          <w:rFonts w:ascii="Arial Narrow" w:hAnsi="Arial Narrow"/>
          <w:sz w:val="18"/>
          <w:szCs w:val="18"/>
          <w:lang w:val="fr-CA"/>
        </w:rPr>
        <w:t>projets de construction ou d’agrandissement (dont le coût est de 150 000 $ ou plus) d’un bâtiment ou d’un site ouvert au public, en totalité ou en partie, à des fins d’information, de loisirs ou d’obtention d’un bien ou d’un service.</w:t>
      </w:r>
    </w:p>
    <w:p w14:paraId="763D395F" w14:textId="77777777" w:rsidR="000B1E9E" w:rsidRPr="006B15EC" w:rsidRDefault="000B1E9E" w:rsidP="000B1E9E">
      <w:pPr>
        <w:pStyle w:val="Niveau2texte"/>
        <w:keepLines w:val="0"/>
        <w:widowControl/>
        <w:spacing w:before="60" w:after="0"/>
        <w:ind w:left="0"/>
        <w:jc w:val="both"/>
        <w:rPr>
          <w:rFonts w:ascii="Arial Narrow" w:hAnsi="Arial Narrow"/>
          <w:b/>
          <w:smallCaps/>
          <w:sz w:val="20"/>
          <w:szCs w:val="20"/>
          <w:lang w:val="fr-CA"/>
        </w:rPr>
      </w:pPr>
      <w:hyperlink r:id="rId15" w:history="1">
        <w:r w:rsidRPr="006B15EC">
          <w:rPr>
            <w:rStyle w:val="Lienhypertexte"/>
            <w:rFonts w:ascii="Arial Narrow" w:hAnsi="Arial Narrow"/>
            <w:b/>
            <w:bCs/>
            <w:smallCaps/>
            <w:sz w:val="20"/>
            <w:szCs w:val="20"/>
            <w:lang w:val="fr-CA"/>
          </w:rPr>
          <w:t>Programme d’accès à l’égalité</w:t>
        </w:r>
      </w:hyperlink>
    </w:p>
    <w:p w14:paraId="25CED94A" w14:textId="77777777" w:rsidR="000B1E9E" w:rsidRPr="00EF36BD" w:rsidRDefault="000B1E9E" w:rsidP="000B1E9E">
      <w:pPr>
        <w:pStyle w:val="Paragraphedeliste"/>
        <w:numPr>
          <w:ilvl w:val="0"/>
          <w:numId w:val="1"/>
        </w:numPr>
        <w:spacing w:before="20"/>
        <w:ind w:left="284" w:hanging="284"/>
        <w:jc w:val="both"/>
        <w:rPr>
          <w:rFonts w:ascii="Arial Narrow" w:hAnsi="Arial Narrow"/>
          <w:sz w:val="18"/>
          <w:szCs w:val="18"/>
          <w:lang w:val="fr-CA"/>
        </w:rPr>
      </w:pPr>
      <w:r w:rsidRPr="00EF36BD">
        <w:rPr>
          <w:rFonts w:ascii="Arial Narrow" w:hAnsi="Arial Narrow"/>
          <w:sz w:val="18"/>
          <w:szCs w:val="18"/>
          <w:lang w:val="fr-CA"/>
        </w:rPr>
        <w:t xml:space="preserve">L’aide financière de 100 000 $ ou plus octroyée à un OBL comptant plus de 100 employés doit comporter l’obligation pour l’organisme de s’engager à implanter un programme d’accès à l’égalité conforme à la </w:t>
      </w:r>
      <w:r w:rsidRPr="00EF36BD">
        <w:rPr>
          <w:rFonts w:ascii="Arial Narrow" w:hAnsi="Arial Narrow"/>
          <w:i/>
          <w:iCs/>
          <w:sz w:val="18"/>
          <w:szCs w:val="18"/>
          <w:lang w:val="fr-CA"/>
        </w:rPr>
        <w:t>Charte des droits et libertés de la personne</w:t>
      </w:r>
      <w:r w:rsidRPr="00EF36BD">
        <w:rPr>
          <w:rFonts w:ascii="Arial Narrow" w:hAnsi="Arial Narrow"/>
          <w:sz w:val="18"/>
          <w:szCs w:val="18"/>
          <w:lang w:val="fr-CA"/>
        </w:rPr>
        <w:t>.</w:t>
      </w:r>
    </w:p>
    <w:p w14:paraId="0B72B564" w14:textId="77777777" w:rsidR="000B1E9E" w:rsidRPr="006B15EC" w:rsidRDefault="000B1E9E" w:rsidP="000B1E9E">
      <w:pPr>
        <w:pStyle w:val="Paragraphedeliste"/>
        <w:widowControl/>
        <w:spacing w:before="60"/>
        <w:ind w:left="0"/>
        <w:jc w:val="both"/>
        <w:rPr>
          <w:rFonts w:ascii="Arial Narrow" w:hAnsi="Arial Narrow"/>
          <w:b/>
          <w:smallCaps/>
          <w:sz w:val="20"/>
          <w:szCs w:val="20"/>
          <w:lang w:val="fr-CA"/>
        </w:rPr>
      </w:pPr>
      <w:hyperlink r:id="rId16" w:history="1">
        <w:r w:rsidRPr="006B15EC">
          <w:rPr>
            <w:rStyle w:val="Lienhypertexte"/>
            <w:rFonts w:ascii="Arial Narrow" w:hAnsi="Arial Narrow"/>
            <w:b/>
            <w:bCs/>
            <w:smallCaps/>
            <w:sz w:val="20"/>
            <w:szCs w:val="20"/>
            <w:lang w:val="fr-CA"/>
          </w:rPr>
          <w:t>Attestation ou certificat conforme de l’Office québécois de la langue française (OQLF)</w:t>
        </w:r>
      </w:hyperlink>
    </w:p>
    <w:p w14:paraId="4AA57812" w14:textId="5C0FD618" w:rsidR="000B1E9E" w:rsidRPr="00EF36BD" w:rsidRDefault="000B1E9E" w:rsidP="000B1E9E">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F36BD">
        <w:rPr>
          <w:rFonts w:ascii="Arial Narrow" w:hAnsi="Arial Narrow"/>
          <w:sz w:val="18"/>
          <w:szCs w:val="18"/>
          <w:lang w:val="fr-CA"/>
        </w:rPr>
        <w:t>Une organisation qui exerce des activités au Québec et qui, durant une période de 6 mois, emploie 25 personnes ou plus est assujetti</w:t>
      </w:r>
      <w:r w:rsidR="007E6B6C" w:rsidRPr="00EF36BD">
        <w:rPr>
          <w:rFonts w:ascii="Arial Narrow" w:hAnsi="Arial Narrow"/>
          <w:sz w:val="18"/>
          <w:szCs w:val="18"/>
          <w:lang w:val="fr-CA"/>
        </w:rPr>
        <w:t>e</w:t>
      </w:r>
      <w:r w:rsidRPr="00EF36BD">
        <w:rPr>
          <w:rFonts w:ascii="Arial Narrow" w:hAnsi="Arial Narrow"/>
          <w:sz w:val="18"/>
          <w:szCs w:val="18"/>
          <w:lang w:val="fr-CA"/>
        </w:rPr>
        <w:t xml:space="preserve"> au chapitre V du titre II de la Charte de la langue française (La francisation des entreprises) et doit, pour se voir octroyer une subvention, annexer à sa demande de subvention le document exigé faisant foi du respect de cette exigence. </w:t>
      </w:r>
    </w:p>
    <w:p w14:paraId="48FC33F7" w14:textId="1C74FA0D" w:rsidR="000B1E9E" w:rsidRPr="00EF36BD" w:rsidRDefault="000B1E9E" w:rsidP="000B1E9E">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F36BD">
        <w:rPr>
          <w:rFonts w:ascii="Arial Narrow" w:hAnsi="Arial Narrow"/>
          <w:sz w:val="18"/>
          <w:szCs w:val="18"/>
          <w:lang w:val="fr-CA"/>
        </w:rPr>
        <w:t>Pour en savoir plus sur cette obligation, consulte</w:t>
      </w:r>
      <w:r w:rsidR="001E1458" w:rsidRPr="00EF36BD">
        <w:rPr>
          <w:rFonts w:ascii="Arial Narrow" w:hAnsi="Arial Narrow"/>
          <w:sz w:val="18"/>
          <w:szCs w:val="18"/>
          <w:lang w:val="fr-CA"/>
        </w:rPr>
        <w:t>r</w:t>
      </w:r>
      <w:r w:rsidRPr="00EF36BD">
        <w:rPr>
          <w:rFonts w:ascii="Arial Narrow" w:hAnsi="Arial Narrow"/>
          <w:sz w:val="18"/>
          <w:szCs w:val="18"/>
          <w:lang w:val="fr-CA"/>
        </w:rPr>
        <w:t xml:space="preserve"> le document d’information utilisé par les organismes de l’Administration : </w:t>
      </w:r>
      <w:hyperlink r:id="rId17">
        <w:r w:rsidRPr="00EF36BD">
          <w:rPr>
            <w:rStyle w:val="Lienhypertexte"/>
            <w:rFonts w:ascii="Arial Narrow" w:hAnsi="Arial Narrow"/>
            <w:sz w:val="18"/>
            <w:szCs w:val="18"/>
            <w:lang w:val="fr-CA"/>
          </w:rPr>
          <w:t>Conformité des entreprises au processus de francisation : vérification avant l’attribution d’un contrat ou d’une subvention</w:t>
        </w:r>
      </w:hyperlink>
      <w:r w:rsidRPr="00EF36BD">
        <w:rPr>
          <w:rFonts w:ascii="Arial Narrow" w:hAnsi="Arial Narrow"/>
          <w:sz w:val="18"/>
          <w:szCs w:val="18"/>
          <w:lang w:val="fr-CA"/>
        </w:rPr>
        <w:t>.</w:t>
      </w:r>
    </w:p>
    <w:p w14:paraId="2A0D45AA" w14:textId="735D320C" w:rsidR="00096FA8" w:rsidRPr="00AF3C7C" w:rsidRDefault="00506C62" w:rsidP="00AF3C7C">
      <w:pPr>
        <w:pBdr>
          <w:bottom w:val="single" w:sz="4" w:space="1" w:color="auto"/>
        </w:pBdr>
        <w:spacing w:before="240" w:after="60"/>
        <w:jc w:val="both"/>
        <w:rPr>
          <w:rFonts w:ascii="Arial Narrow" w:hAnsi="Arial Narrow" w:cs="Arial"/>
          <w:b/>
          <w:bCs/>
          <w:i/>
          <w:iCs/>
          <w:color w:val="1F3864" w:themeColor="accent1" w:themeShade="80"/>
        </w:rPr>
      </w:pPr>
      <w:r w:rsidRPr="000B1E9E">
        <w:rPr>
          <w:rFonts w:ascii="Arial Narrow" w:hAnsi="Arial Narrow"/>
          <w:highlight w:val="green"/>
        </w:rPr>
        <w:br w:type="column"/>
      </w:r>
      <w:r w:rsidR="00AF3C7C">
        <w:rPr>
          <w:rFonts w:ascii="Arial Narrow" w:hAnsi="Arial Narrow" w:cs="Arial"/>
          <w:b/>
          <w:bCs/>
          <w:i/>
          <w:iCs/>
          <w:color w:val="1F3864" w:themeColor="accent1" w:themeShade="80"/>
        </w:rPr>
        <w:t>DOCUMENTS REQUIS</w:t>
      </w:r>
    </w:p>
    <w:p w14:paraId="570E6478"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Le formulaire numérique rempli et signé;</w:t>
      </w:r>
    </w:p>
    <w:p w14:paraId="5E3125D6"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bookmarkStart w:id="0" w:name="_Hlk115420893"/>
      <w:r w:rsidRPr="004A5852">
        <w:rPr>
          <w:rFonts w:ascii="Arial Narrow" w:hAnsi="Arial Narrow"/>
          <w:sz w:val="18"/>
          <w:szCs w:val="18"/>
          <w:lang w:val="fr-CA"/>
        </w:rPr>
        <w:t>L’annexe A;</w:t>
      </w:r>
    </w:p>
    <w:p w14:paraId="1E855F35"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L’annexe B;</w:t>
      </w:r>
    </w:p>
    <w:p w14:paraId="7DA22D45"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La confirmation des partenaires financiers, si disponible;</w:t>
      </w:r>
    </w:p>
    <w:p w14:paraId="51AFB909"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L’extrait du registre des entreprises du Québec;</w:t>
      </w:r>
    </w:p>
    <w:p w14:paraId="5D5A699B"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Une copie de la Charte d’incorporation et règlements généraux – à valider avec la conseillère au dossier;</w:t>
      </w:r>
    </w:p>
    <w:bookmarkEnd w:id="0"/>
    <w:p w14:paraId="70924941" w14:textId="77777777" w:rsidR="00B708AB" w:rsidRPr="004A5852" w:rsidRDefault="00B708AB" w:rsidP="00B708AB">
      <w:pPr>
        <w:pStyle w:val="Niveau2texte"/>
        <w:keepLines w:val="0"/>
        <w:widowControl/>
        <w:numPr>
          <w:ilvl w:val="0"/>
          <w:numId w:val="1"/>
        </w:numPr>
        <w:spacing w:before="20" w:after="0"/>
        <w:jc w:val="both"/>
        <w:rPr>
          <w:rFonts w:ascii="Arial Narrow" w:hAnsi="Arial Narrow"/>
          <w:sz w:val="18"/>
          <w:szCs w:val="18"/>
          <w:lang w:val="fr-CA"/>
        </w:rPr>
      </w:pPr>
      <w:r w:rsidRPr="004A5852">
        <w:rPr>
          <w:rFonts w:ascii="Arial Narrow" w:hAnsi="Arial Narrow"/>
          <w:sz w:val="18"/>
          <w:szCs w:val="18"/>
          <w:lang w:val="fr-CA"/>
        </w:rPr>
        <w:t>La résolution du conseil d’administration (ou l’équivalent) mandatant le signataire de la demande d’aide financière à ce programme et tout document pertinent à la demande;</w:t>
      </w:r>
    </w:p>
    <w:p w14:paraId="2D45201C" w14:textId="36942E69" w:rsidR="0083586A" w:rsidRPr="004A5852" w:rsidRDefault="00F555AD" w:rsidP="00491F43">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A5852">
        <w:rPr>
          <w:rFonts w:ascii="Arial Narrow" w:hAnsi="Arial Narrow" w:cs="Arial"/>
          <w:sz w:val="18"/>
          <w:szCs w:val="18"/>
        </w:rPr>
        <w:t>P</w:t>
      </w:r>
      <w:r w:rsidR="004D3612" w:rsidRPr="004A5852">
        <w:rPr>
          <w:rFonts w:ascii="Arial Narrow" w:hAnsi="Arial Narrow" w:cs="Arial"/>
          <w:sz w:val="18"/>
          <w:szCs w:val="18"/>
        </w:rPr>
        <w:t xml:space="preserve">lan de projet </w:t>
      </w:r>
      <w:r w:rsidR="000D6E4A" w:rsidRPr="004A5852">
        <w:rPr>
          <w:rFonts w:ascii="Arial Narrow" w:hAnsi="Arial Narrow" w:cs="Arial"/>
          <w:sz w:val="18"/>
          <w:szCs w:val="18"/>
        </w:rPr>
        <w:t xml:space="preserve">précisant les livrables attendus et les répercussions sur </w:t>
      </w:r>
      <w:r w:rsidR="00157D35" w:rsidRPr="004A5852">
        <w:rPr>
          <w:rFonts w:ascii="Arial Narrow" w:hAnsi="Arial Narrow" w:cs="Arial"/>
          <w:sz w:val="18"/>
          <w:szCs w:val="18"/>
        </w:rPr>
        <w:t xml:space="preserve">trois </w:t>
      </w:r>
      <w:r w:rsidR="000D6E4A" w:rsidRPr="004A5852">
        <w:rPr>
          <w:rFonts w:ascii="Arial Narrow" w:hAnsi="Arial Narrow" w:cs="Arial"/>
          <w:sz w:val="18"/>
          <w:szCs w:val="18"/>
        </w:rPr>
        <w:t>ans</w:t>
      </w:r>
      <w:r w:rsidRPr="004A5852">
        <w:rPr>
          <w:rFonts w:ascii="Arial Narrow" w:hAnsi="Arial Narrow" w:cs="Arial"/>
          <w:sz w:val="18"/>
          <w:szCs w:val="18"/>
        </w:rPr>
        <w:t>;</w:t>
      </w:r>
    </w:p>
    <w:p w14:paraId="67C250BD" w14:textId="45F80919" w:rsidR="0083586A" w:rsidRPr="004A5852" w:rsidRDefault="00243CDD" w:rsidP="00243CDD">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A5852">
        <w:rPr>
          <w:rFonts w:ascii="Arial Narrow" w:hAnsi="Arial Narrow" w:cs="Arial"/>
          <w:sz w:val="18"/>
          <w:szCs w:val="18"/>
        </w:rPr>
        <w:t>États financiers des deux dernières années les plus récents de l’organisme</w:t>
      </w:r>
      <w:r w:rsidR="000C0CC3" w:rsidRPr="004A5852">
        <w:rPr>
          <w:rFonts w:ascii="Arial Narrow" w:hAnsi="Arial Narrow" w:cs="Arial"/>
          <w:sz w:val="18"/>
          <w:szCs w:val="18"/>
        </w:rPr>
        <w:t xml:space="preserve"> (n</w:t>
      </w:r>
      <w:r w:rsidRPr="004A5852">
        <w:rPr>
          <w:rFonts w:ascii="Arial Narrow" w:hAnsi="Arial Narrow" w:cs="Arial"/>
          <w:sz w:val="18"/>
          <w:szCs w:val="18"/>
        </w:rPr>
        <w:t>on requis pour les ATR, les entités municipales et les communautés autochtones</w:t>
      </w:r>
      <w:r w:rsidR="000C0CC3" w:rsidRPr="004A5852">
        <w:rPr>
          <w:rFonts w:ascii="Arial Narrow" w:hAnsi="Arial Narrow" w:cs="Arial"/>
          <w:sz w:val="18"/>
          <w:szCs w:val="18"/>
        </w:rPr>
        <w:t>)</w:t>
      </w:r>
      <w:r w:rsidRPr="004A5852">
        <w:rPr>
          <w:rFonts w:ascii="Arial Narrow" w:hAnsi="Arial Narrow" w:cs="Arial"/>
          <w:sz w:val="18"/>
          <w:szCs w:val="18"/>
        </w:rPr>
        <w:t>;</w:t>
      </w:r>
    </w:p>
    <w:p w14:paraId="17AF7C80" w14:textId="60579E4E" w:rsidR="00560D65" w:rsidRPr="004A5852" w:rsidRDefault="00560D65" w:rsidP="00560D65">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A5852">
        <w:rPr>
          <w:rFonts w:ascii="Arial Narrow" w:hAnsi="Arial Narrow" w:cs="Arial"/>
          <w:sz w:val="18"/>
          <w:szCs w:val="18"/>
        </w:rPr>
        <w:t>Pour les organisations qui exercent des activités au Québec et qui, durant une période de 6 mois, emploient 25 personnes ou plus, une pièce d’attestation ou de certification délivrée par l’OQLF faisant foi du respect de l’exigence de conformité;</w:t>
      </w:r>
    </w:p>
    <w:p w14:paraId="2B20ED5B" w14:textId="14365C9E" w:rsidR="00CB0F6B" w:rsidRPr="004A5852" w:rsidRDefault="00CB0F6B" w:rsidP="00CB0F6B">
      <w:pPr>
        <w:widowControl w:val="0"/>
        <w:numPr>
          <w:ilvl w:val="1"/>
          <w:numId w:val="5"/>
        </w:numPr>
        <w:tabs>
          <w:tab w:val="clear" w:pos="1260"/>
          <w:tab w:val="left" w:pos="276"/>
        </w:tabs>
        <w:autoSpaceDE w:val="0"/>
        <w:autoSpaceDN w:val="0"/>
        <w:adjustRightInd w:val="0"/>
        <w:spacing w:before="20"/>
        <w:ind w:left="284" w:hanging="284"/>
        <w:jc w:val="both"/>
        <w:rPr>
          <w:rFonts w:ascii="Arial Narrow" w:hAnsi="Arial Narrow" w:cs="Arial"/>
          <w:sz w:val="18"/>
          <w:szCs w:val="18"/>
        </w:rPr>
      </w:pPr>
      <w:r w:rsidRPr="004A5852">
        <w:rPr>
          <w:rFonts w:ascii="Arial Narrow" w:hAnsi="Arial Narrow" w:cs="Arial"/>
          <w:sz w:val="18"/>
          <w:szCs w:val="18"/>
        </w:rPr>
        <w:t>Si applicable, un certificat ou une certification autochtone permettant de reconnaître le statut autochtone de l’OBL, de l’OBNL ou de la coopérative (cela permet de déterminer le taux d’aide);</w:t>
      </w:r>
    </w:p>
    <w:p w14:paraId="6376DA46" w14:textId="6E6BF8A1" w:rsidR="00601928" w:rsidRPr="004A5852" w:rsidRDefault="00FC0AC0" w:rsidP="00601928">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A5852">
        <w:rPr>
          <w:rFonts w:ascii="Arial Narrow" w:hAnsi="Arial Narrow" w:cs="Arial"/>
          <w:sz w:val="18"/>
          <w:szCs w:val="18"/>
        </w:rPr>
        <w:t xml:space="preserve">Pour les entreprises de tourisme de nature et d’aventure, un document prouvant qu’elles respectent les normes du </w:t>
      </w:r>
      <w:hyperlink r:id="rId18" w:history="1">
        <w:r w:rsidRPr="004A5852">
          <w:rPr>
            <w:rFonts w:ascii="Arial Narrow" w:hAnsi="Arial Narrow"/>
            <w:sz w:val="18"/>
            <w:szCs w:val="18"/>
          </w:rPr>
          <w:t>programme Qualité-Sécurité d’Aventure</w:t>
        </w:r>
      </w:hyperlink>
      <w:r w:rsidRPr="004A5852">
        <w:rPr>
          <w:rFonts w:ascii="Arial Narrow" w:hAnsi="Arial Narrow" w:cs="Arial"/>
          <w:sz w:val="18"/>
          <w:szCs w:val="18"/>
        </w:rPr>
        <w:t xml:space="preserve"> Écotourisme Québec, </w:t>
      </w:r>
      <w:r w:rsidR="0051592E" w:rsidRPr="004A5852">
        <w:rPr>
          <w:rFonts w:ascii="Arial Narrow" w:hAnsi="Arial Narrow" w:cs="Arial"/>
          <w:sz w:val="18"/>
          <w:szCs w:val="18"/>
        </w:rPr>
        <w:t xml:space="preserve">ou </w:t>
      </w:r>
      <w:r w:rsidRPr="004A5852">
        <w:rPr>
          <w:rFonts w:ascii="Arial Narrow" w:hAnsi="Arial Narrow" w:cs="Arial"/>
          <w:sz w:val="18"/>
          <w:szCs w:val="18"/>
        </w:rPr>
        <w:t>qu’elles ont amorcé une démarche pour se conformer aux normes de ce programme</w:t>
      </w:r>
      <w:r w:rsidR="0051592E" w:rsidRPr="004A5852">
        <w:rPr>
          <w:rFonts w:ascii="Arial Narrow" w:hAnsi="Arial Narrow" w:cs="Arial"/>
          <w:sz w:val="18"/>
          <w:szCs w:val="18"/>
        </w:rPr>
        <w:t>,</w:t>
      </w:r>
      <w:r w:rsidRPr="004A5852">
        <w:rPr>
          <w:rFonts w:ascii="Arial Narrow" w:hAnsi="Arial Narrow" w:cs="Arial"/>
          <w:sz w:val="18"/>
          <w:szCs w:val="18"/>
        </w:rPr>
        <w:t xml:space="preserve"> ou qu’elles s’engagent à entreprendre une telle démarche.</w:t>
      </w:r>
    </w:p>
    <w:p w14:paraId="6F799544" w14:textId="44B4B454" w:rsidR="00CB0F6B" w:rsidRPr="00173C27" w:rsidRDefault="00CB0F6B" w:rsidP="00601928">
      <w:pPr>
        <w:widowControl w:val="0"/>
        <w:autoSpaceDE w:val="0"/>
        <w:autoSpaceDN w:val="0"/>
        <w:adjustRightInd w:val="0"/>
        <w:spacing w:before="20"/>
        <w:jc w:val="both"/>
        <w:rPr>
          <w:rFonts w:ascii="Arial Narrow" w:hAnsi="Arial Narrow" w:cs="Arial"/>
          <w:szCs w:val="22"/>
        </w:rPr>
      </w:pPr>
    </w:p>
    <w:p w14:paraId="6D09FD06" w14:textId="77777777" w:rsidR="0008640D" w:rsidRPr="003373AF" w:rsidRDefault="0008640D" w:rsidP="008214FE">
      <w:pPr>
        <w:pBdr>
          <w:bottom w:val="single" w:sz="4" w:space="1" w:color="auto"/>
        </w:pBdr>
        <w:spacing w:before="240" w:after="60"/>
        <w:jc w:val="both"/>
        <w:rPr>
          <w:rFonts w:ascii="Arial Narrow" w:hAnsi="Arial Narrow" w:cs="Arial"/>
          <w:sz w:val="24"/>
          <w:szCs w:val="24"/>
        </w:rPr>
      </w:pPr>
    </w:p>
    <w:sectPr w:rsidR="0008640D" w:rsidRPr="003373AF" w:rsidSect="00730E89">
      <w:type w:val="continuous"/>
      <w:pgSz w:w="12240" w:h="20160" w:code="5"/>
      <w:pgMar w:top="993" w:right="616" w:bottom="993" w:left="851" w:header="708" w:footer="81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175C" w14:textId="77777777" w:rsidR="00E0455B" w:rsidRDefault="00E0455B" w:rsidP="00C12B7D">
      <w:r>
        <w:separator/>
      </w:r>
    </w:p>
  </w:endnote>
  <w:endnote w:type="continuationSeparator" w:id="0">
    <w:p w14:paraId="5FF56771" w14:textId="77777777" w:rsidR="00E0455B" w:rsidRDefault="00E0455B" w:rsidP="00C12B7D">
      <w:r>
        <w:continuationSeparator/>
      </w:r>
    </w:p>
  </w:endnote>
  <w:endnote w:type="continuationNotice" w:id="1">
    <w:p w14:paraId="41496265" w14:textId="77777777" w:rsidR="00E0455B" w:rsidRDefault="00E0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FCFE" w14:textId="38647905" w:rsidR="00C940B3" w:rsidRPr="00491F43" w:rsidRDefault="0035519C" w:rsidP="00BF1AD5">
    <w:pPr>
      <w:pStyle w:val="Pieddepage"/>
      <w:jc w:val="center"/>
      <w:rPr>
        <w:rFonts w:ascii="Arial Narrow" w:hAnsi="Arial Narrow"/>
        <w:sz w:val="18"/>
        <w:szCs w:val="18"/>
      </w:rPr>
    </w:pPr>
    <w:r w:rsidRPr="00FA7911">
      <w:rPr>
        <w:rFonts w:ascii="Arial Narrow" w:hAnsi="Arial Narrow"/>
        <w:sz w:val="18"/>
        <w:szCs w:val="18"/>
      </w:rPr>
      <w:t xml:space="preserve">- </w:t>
    </w:r>
    <w:sdt>
      <w:sdtPr>
        <w:rPr>
          <w:rFonts w:ascii="Arial Narrow" w:hAnsi="Arial Narrow"/>
          <w:sz w:val="18"/>
          <w:szCs w:val="18"/>
        </w:rPr>
        <w:id w:val="1562290711"/>
        <w:docPartObj>
          <w:docPartGallery w:val="Page Numbers (Bottom of Page)"/>
          <w:docPartUnique/>
        </w:docPartObj>
      </w:sdtPr>
      <w:sdtEndPr/>
      <w:sdtContent>
        <w:r w:rsidRPr="00FA7911">
          <w:rPr>
            <w:rFonts w:ascii="Arial Narrow" w:hAnsi="Arial Narrow"/>
            <w:sz w:val="18"/>
            <w:szCs w:val="18"/>
          </w:rPr>
          <w:fldChar w:fldCharType="begin"/>
        </w:r>
        <w:r w:rsidRPr="00FA7911">
          <w:rPr>
            <w:rFonts w:ascii="Arial Narrow" w:hAnsi="Arial Narrow"/>
            <w:sz w:val="18"/>
            <w:szCs w:val="18"/>
          </w:rPr>
          <w:instrText>PAGE   \* MERGEFORMAT</w:instrText>
        </w:r>
        <w:r w:rsidRPr="00FA7911">
          <w:rPr>
            <w:rFonts w:ascii="Arial Narrow" w:hAnsi="Arial Narrow"/>
            <w:sz w:val="18"/>
            <w:szCs w:val="18"/>
          </w:rPr>
          <w:fldChar w:fldCharType="separate"/>
        </w:r>
        <w:r>
          <w:rPr>
            <w:rFonts w:ascii="Arial Narrow" w:hAnsi="Arial Narrow"/>
            <w:sz w:val="18"/>
            <w:szCs w:val="18"/>
          </w:rPr>
          <w:t>1</w:t>
        </w:r>
        <w:r w:rsidRPr="00FA7911">
          <w:rPr>
            <w:rFonts w:ascii="Arial Narrow" w:hAnsi="Arial Narrow"/>
            <w:sz w:val="18"/>
            <w:szCs w:val="18"/>
          </w:rPr>
          <w:fldChar w:fldCharType="end"/>
        </w:r>
        <w:r w:rsidRPr="00FA7911">
          <w:rPr>
            <w:rFonts w:ascii="Arial Narrow" w:hAnsi="Arial Narrow"/>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F7ED" w14:textId="77777777" w:rsidR="00E0455B" w:rsidRDefault="00E0455B" w:rsidP="00C12B7D">
      <w:r>
        <w:separator/>
      </w:r>
    </w:p>
  </w:footnote>
  <w:footnote w:type="continuationSeparator" w:id="0">
    <w:p w14:paraId="33E1C110" w14:textId="77777777" w:rsidR="00E0455B" w:rsidRDefault="00E0455B" w:rsidP="00C12B7D">
      <w:r>
        <w:continuationSeparator/>
      </w:r>
    </w:p>
  </w:footnote>
  <w:footnote w:type="continuationNotice" w:id="1">
    <w:p w14:paraId="184335CD" w14:textId="77777777" w:rsidR="00E0455B" w:rsidRDefault="00E04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5F9"/>
    <w:multiLevelType w:val="hybridMultilevel"/>
    <w:tmpl w:val="E02C9A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E753AA"/>
    <w:multiLevelType w:val="hybridMultilevel"/>
    <w:tmpl w:val="C7022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A7B4294"/>
    <w:multiLevelType w:val="multilevel"/>
    <w:tmpl w:val="B3684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A3E94"/>
    <w:multiLevelType w:val="hybridMultilevel"/>
    <w:tmpl w:val="E1EA4F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D72DAC"/>
    <w:multiLevelType w:val="hybridMultilevel"/>
    <w:tmpl w:val="BC22DB9C"/>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0A5870"/>
    <w:multiLevelType w:val="hybridMultilevel"/>
    <w:tmpl w:val="1E70FF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BC3D97"/>
    <w:multiLevelType w:val="hybridMultilevel"/>
    <w:tmpl w:val="F15AA0D0"/>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C04063C"/>
    <w:multiLevelType w:val="hybridMultilevel"/>
    <w:tmpl w:val="AC3AB2BE"/>
    <w:lvl w:ilvl="0" w:tplc="0C0C0001">
      <w:start w:val="1"/>
      <w:numFmt w:val="bullet"/>
      <w:lvlText w:val=""/>
      <w:lvlJc w:val="left"/>
      <w:pPr>
        <w:ind w:left="1644" w:hanging="360"/>
      </w:pPr>
      <w:rPr>
        <w:rFonts w:ascii="Symbol" w:hAnsi="Symbol" w:hint="default"/>
      </w:rPr>
    </w:lvl>
    <w:lvl w:ilvl="1" w:tplc="0C0C0003" w:tentative="1">
      <w:start w:val="1"/>
      <w:numFmt w:val="bullet"/>
      <w:lvlText w:val="o"/>
      <w:lvlJc w:val="left"/>
      <w:pPr>
        <w:ind w:left="2364" w:hanging="360"/>
      </w:pPr>
      <w:rPr>
        <w:rFonts w:ascii="Courier New" w:hAnsi="Courier New" w:cs="Courier New" w:hint="default"/>
      </w:rPr>
    </w:lvl>
    <w:lvl w:ilvl="2" w:tplc="0C0C0005" w:tentative="1">
      <w:start w:val="1"/>
      <w:numFmt w:val="bullet"/>
      <w:lvlText w:val=""/>
      <w:lvlJc w:val="left"/>
      <w:pPr>
        <w:ind w:left="3084" w:hanging="360"/>
      </w:pPr>
      <w:rPr>
        <w:rFonts w:ascii="Wingdings" w:hAnsi="Wingdings" w:hint="default"/>
      </w:rPr>
    </w:lvl>
    <w:lvl w:ilvl="3" w:tplc="0C0C0001" w:tentative="1">
      <w:start w:val="1"/>
      <w:numFmt w:val="bullet"/>
      <w:lvlText w:val=""/>
      <w:lvlJc w:val="left"/>
      <w:pPr>
        <w:ind w:left="3804" w:hanging="360"/>
      </w:pPr>
      <w:rPr>
        <w:rFonts w:ascii="Symbol" w:hAnsi="Symbol" w:hint="default"/>
      </w:rPr>
    </w:lvl>
    <w:lvl w:ilvl="4" w:tplc="0C0C0003" w:tentative="1">
      <w:start w:val="1"/>
      <w:numFmt w:val="bullet"/>
      <w:lvlText w:val="o"/>
      <w:lvlJc w:val="left"/>
      <w:pPr>
        <w:ind w:left="4524" w:hanging="360"/>
      </w:pPr>
      <w:rPr>
        <w:rFonts w:ascii="Courier New" w:hAnsi="Courier New" w:cs="Courier New" w:hint="default"/>
      </w:rPr>
    </w:lvl>
    <w:lvl w:ilvl="5" w:tplc="0C0C0005" w:tentative="1">
      <w:start w:val="1"/>
      <w:numFmt w:val="bullet"/>
      <w:lvlText w:val=""/>
      <w:lvlJc w:val="left"/>
      <w:pPr>
        <w:ind w:left="5244" w:hanging="360"/>
      </w:pPr>
      <w:rPr>
        <w:rFonts w:ascii="Wingdings" w:hAnsi="Wingdings" w:hint="default"/>
      </w:rPr>
    </w:lvl>
    <w:lvl w:ilvl="6" w:tplc="0C0C0001" w:tentative="1">
      <w:start w:val="1"/>
      <w:numFmt w:val="bullet"/>
      <w:lvlText w:val=""/>
      <w:lvlJc w:val="left"/>
      <w:pPr>
        <w:ind w:left="5964" w:hanging="360"/>
      </w:pPr>
      <w:rPr>
        <w:rFonts w:ascii="Symbol" w:hAnsi="Symbol" w:hint="default"/>
      </w:rPr>
    </w:lvl>
    <w:lvl w:ilvl="7" w:tplc="0C0C0003" w:tentative="1">
      <w:start w:val="1"/>
      <w:numFmt w:val="bullet"/>
      <w:lvlText w:val="o"/>
      <w:lvlJc w:val="left"/>
      <w:pPr>
        <w:ind w:left="6684" w:hanging="360"/>
      </w:pPr>
      <w:rPr>
        <w:rFonts w:ascii="Courier New" w:hAnsi="Courier New" w:cs="Courier New" w:hint="default"/>
      </w:rPr>
    </w:lvl>
    <w:lvl w:ilvl="8" w:tplc="0C0C0005" w:tentative="1">
      <w:start w:val="1"/>
      <w:numFmt w:val="bullet"/>
      <w:lvlText w:val=""/>
      <w:lvlJc w:val="left"/>
      <w:pPr>
        <w:ind w:left="7404" w:hanging="360"/>
      </w:pPr>
      <w:rPr>
        <w:rFonts w:ascii="Wingdings" w:hAnsi="Wingdings" w:hint="default"/>
      </w:rPr>
    </w:lvl>
  </w:abstractNum>
  <w:abstractNum w:abstractNumId="8" w15:restartNumberingAfterBreak="0">
    <w:nsid w:val="1CD13A13"/>
    <w:multiLevelType w:val="hybridMultilevel"/>
    <w:tmpl w:val="7136ACEE"/>
    <w:lvl w:ilvl="0" w:tplc="FFFFFFFF">
      <w:start w:val="1"/>
      <w:numFmt w:val="decimal"/>
      <w:lvlText w:val="%1."/>
      <w:lvlJc w:val="left"/>
      <w:pPr>
        <w:tabs>
          <w:tab w:val="num" w:pos="720"/>
        </w:tabs>
        <w:ind w:left="720" w:hanging="360"/>
      </w:pPr>
    </w:lvl>
    <w:lvl w:ilvl="1" w:tplc="0C0C0005">
      <w:start w:val="1"/>
      <w:numFmt w:val="bullet"/>
      <w:lvlText w:val=""/>
      <w:lvlJc w:val="left"/>
      <w:pPr>
        <w:tabs>
          <w:tab w:val="num" w:pos="1260"/>
        </w:tabs>
        <w:ind w:left="1260" w:hanging="360"/>
      </w:pPr>
      <w:rPr>
        <w:rFonts w:ascii="Wingdings" w:hAnsi="Wingdings" w:hint="default"/>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2E355064"/>
    <w:multiLevelType w:val="multilevel"/>
    <w:tmpl w:val="AE521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84961"/>
    <w:multiLevelType w:val="hybridMultilevel"/>
    <w:tmpl w:val="B3F8B9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6A344F9"/>
    <w:multiLevelType w:val="hybridMultilevel"/>
    <w:tmpl w:val="88B2A3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F1A1517"/>
    <w:multiLevelType w:val="hybridMultilevel"/>
    <w:tmpl w:val="8E62BFAE"/>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DDF26AF"/>
    <w:multiLevelType w:val="hybridMultilevel"/>
    <w:tmpl w:val="9FB45620"/>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ascii="Wingdings" w:hAnsi="Wingdings" w:hint="default"/>
      </w:rPr>
    </w:lvl>
    <w:lvl w:ilvl="2" w:tplc="9BE409C8">
      <w:start w:val="1"/>
      <w:numFmt w:val="bullet"/>
      <w:lvlText w:val="o"/>
      <w:lvlJc w:val="left"/>
      <w:pPr>
        <w:tabs>
          <w:tab w:val="num" w:pos="2340"/>
        </w:tabs>
        <w:ind w:left="2340" w:hanging="360"/>
      </w:pPr>
      <w:rPr>
        <w:rFonts w:ascii="Courier New" w:hAnsi="Courier New" w:cs="Courier New" w:hint="default"/>
        <w:sz w:val="24"/>
        <w:szCs w:val="24"/>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4E6E0E43"/>
    <w:multiLevelType w:val="hybridMultilevel"/>
    <w:tmpl w:val="8892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741778D"/>
    <w:multiLevelType w:val="hybridMultilevel"/>
    <w:tmpl w:val="8CBA53BA"/>
    <w:lvl w:ilvl="0" w:tplc="0C0C0005">
      <w:start w:val="1"/>
      <w:numFmt w:val="bullet"/>
      <w:lvlText w:val=""/>
      <w:lvlJc w:val="left"/>
      <w:pPr>
        <w:ind w:left="360" w:hanging="360"/>
      </w:pPr>
      <w:rPr>
        <w:rFonts w:ascii="Wingdings" w:hAnsi="Wingdings" w:hint="default"/>
      </w:rPr>
    </w:lvl>
    <w:lvl w:ilvl="1" w:tplc="8FA2C352">
      <w:start w:val="1"/>
      <w:numFmt w:val="bullet"/>
      <w:lvlText w:val="-"/>
      <w:lvlJc w:val="left"/>
      <w:pPr>
        <w:ind w:left="1080" w:hanging="360"/>
      </w:pPr>
      <w:rPr>
        <w:rFonts w:ascii="Arial" w:hAnsi="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69D7334C"/>
    <w:multiLevelType w:val="multilevel"/>
    <w:tmpl w:val="46A22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D1501"/>
    <w:multiLevelType w:val="hybridMultilevel"/>
    <w:tmpl w:val="38A69F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1702CBF"/>
    <w:multiLevelType w:val="multilevel"/>
    <w:tmpl w:val="C2E69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320C1"/>
    <w:multiLevelType w:val="multilevel"/>
    <w:tmpl w:val="8EF6D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6393A"/>
    <w:multiLevelType w:val="multilevel"/>
    <w:tmpl w:val="69D44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01D4E"/>
    <w:multiLevelType w:val="hybridMultilevel"/>
    <w:tmpl w:val="5FC80CE4"/>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ascii="Wingdings" w:hAnsi="Wingdings" w:hint="default"/>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77A65EB8"/>
    <w:multiLevelType w:val="hybridMultilevel"/>
    <w:tmpl w:val="09E28BF6"/>
    <w:lvl w:ilvl="0" w:tplc="8FA2C352">
      <w:start w:val="1"/>
      <w:numFmt w:val="bullet"/>
      <w:lvlText w:val="-"/>
      <w:lvlJc w:val="left"/>
      <w:pPr>
        <w:ind w:left="720" w:hanging="360"/>
      </w:pPr>
      <w:rPr>
        <w:rFonts w:ascii="Arial" w:hAnsi="Arial" w:hint="default"/>
      </w:rPr>
    </w:lvl>
    <w:lvl w:ilvl="1" w:tplc="8FA2C352">
      <w:start w:val="1"/>
      <w:numFmt w:val="bullet"/>
      <w:lvlText w:val="-"/>
      <w:lvlJc w:val="left"/>
      <w:pPr>
        <w:ind w:left="1440" w:hanging="360"/>
      </w:pPr>
      <w:rPr>
        <w:rFonts w:ascii="Arial" w:hAnsi="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B57D81"/>
    <w:multiLevelType w:val="hybridMultilevel"/>
    <w:tmpl w:val="ABE2A65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0336088">
    <w:abstractNumId w:val="15"/>
  </w:num>
  <w:num w:numId="2" w16cid:durableId="23021953">
    <w:abstractNumId w:val="21"/>
  </w:num>
  <w:num w:numId="3" w16cid:durableId="265618670">
    <w:abstractNumId w:val="13"/>
  </w:num>
  <w:num w:numId="4" w16cid:durableId="1594586396">
    <w:abstractNumId w:val="3"/>
  </w:num>
  <w:num w:numId="5" w16cid:durableId="609506284">
    <w:abstractNumId w:val="8"/>
  </w:num>
  <w:num w:numId="6" w16cid:durableId="470949909">
    <w:abstractNumId w:val="7"/>
  </w:num>
  <w:num w:numId="7" w16cid:durableId="1242328609">
    <w:abstractNumId w:val="5"/>
  </w:num>
  <w:num w:numId="8" w16cid:durableId="2090760720">
    <w:abstractNumId w:val="11"/>
  </w:num>
  <w:num w:numId="9" w16cid:durableId="951133652">
    <w:abstractNumId w:val="10"/>
  </w:num>
  <w:num w:numId="10" w16cid:durableId="1290890839">
    <w:abstractNumId w:val="17"/>
  </w:num>
  <w:num w:numId="11" w16cid:durableId="274748197">
    <w:abstractNumId w:val="1"/>
  </w:num>
  <w:num w:numId="12" w16cid:durableId="1531069560">
    <w:abstractNumId w:val="14"/>
  </w:num>
  <w:num w:numId="13" w16cid:durableId="274603431">
    <w:abstractNumId w:val="0"/>
  </w:num>
  <w:num w:numId="14" w16cid:durableId="1294602566">
    <w:abstractNumId w:val="23"/>
  </w:num>
  <w:num w:numId="15" w16cid:durableId="1452437734">
    <w:abstractNumId w:val="8"/>
    <w:lvlOverride w:ilvl="0">
      <w:startOverride w:val="1"/>
    </w:lvlOverride>
    <w:lvlOverride w:ilvl="1"/>
    <w:lvlOverride w:ilvl="2">
      <w:startOverride w:val="7"/>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3460319">
    <w:abstractNumId w:val="6"/>
  </w:num>
  <w:num w:numId="17" w16cid:durableId="1188104924">
    <w:abstractNumId w:val="22"/>
  </w:num>
  <w:num w:numId="18" w16cid:durableId="1269897640">
    <w:abstractNumId w:val="12"/>
  </w:num>
  <w:num w:numId="19" w16cid:durableId="842206766">
    <w:abstractNumId w:val="4"/>
  </w:num>
  <w:num w:numId="20" w16cid:durableId="1434667909">
    <w:abstractNumId w:val="9"/>
  </w:num>
  <w:num w:numId="21" w16cid:durableId="2067029557">
    <w:abstractNumId w:val="16"/>
  </w:num>
  <w:num w:numId="22" w16cid:durableId="2100175483">
    <w:abstractNumId w:val="20"/>
  </w:num>
  <w:num w:numId="23" w16cid:durableId="635377875">
    <w:abstractNumId w:val="18"/>
  </w:num>
  <w:num w:numId="24" w16cid:durableId="1290629517">
    <w:abstractNumId w:val="2"/>
  </w:num>
  <w:num w:numId="25" w16cid:durableId="1755584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4D"/>
    <w:rsid w:val="000006F0"/>
    <w:rsid w:val="000030AE"/>
    <w:rsid w:val="00013019"/>
    <w:rsid w:val="00015718"/>
    <w:rsid w:val="000162A6"/>
    <w:rsid w:val="00016387"/>
    <w:rsid w:val="000208F8"/>
    <w:rsid w:val="000218F4"/>
    <w:rsid w:val="000303A2"/>
    <w:rsid w:val="00032574"/>
    <w:rsid w:val="000459FF"/>
    <w:rsid w:val="00045A24"/>
    <w:rsid w:val="0004633A"/>
    <w:rsid w:val="00052F37"/>
    <w:rsid w:val="000561A7"/>
    <w:rsid w:val="0006764F"/>
    <w:rsid w:val="000728EE"/>
    <w:rsid w:val="00073B52"/>
    <w:rsid w:val="000769F6"/>
    <w:rsid w:val="00080D26"/>
    <w:rsid w:val="00081CBE"/>
    <w:rsid w:val="00081CE8"/>
    <w:rsid w:val="00082CD8"/>
    <w:rsid w:val="00084A2F"/>
    <w:rsid w:val="0008640D"/>
    <w:rsid w:val="000869B0"/>
    <w:rsid w:val="00086A60"/>
    <w:rsid w:val="00087061"/>
    <w:rsid w:val="0008790E"/>
    <w:rsid w:val="00087DBA"/>
    <w:rsid w:val="00087E1D"/>
    <w:rsid w:val="00090A40"/>
    <w:rsid w:val="00093F0D"/>
    <w:rsid w:val="000952B4"/>
    <w:rsid w:val="00096FA8"/>
    <w:rsid w:val="000B1E9E"/>
    <w:rsid w:val="000C0CC3"/>
    <w:rsid w:val="000C1D1B"/>
    <w:rsid w:val="000C3D28"/>
    <w:rsid w:val="000C6418"/>
    <w:rsid w:val="000D24AA"/>
    <w:rsid w:val="000D6E4A"/>
    <w:rsid w:val="000E72B9"/>
    <w:rsid w:val="000F5F73"/>
    <w:rsid w:val="00104CDD"/>
    <w:rsid w:val="0010603A"/>
    <w:rsid w:val="0011072A"/>
    <w:rsid w:val="00110C1D"/>
    <w:rsid w:val="001122AE"/>
    <w:rsid w:val="0013098F"/>
    <w:rsid w:val="0013192F"/>
    <w:rsid w:val="00133B3C"/>
    <w:rsid w:val="001424AD"/>
    <w:rsid w:val="00142876"/>
    <w:rsid w:val="001428E1"/>
    <w:rsid w:val="0014388C"/>
    <w:rsid w:val="0015423F"/>
    <w:rsid w:val="001566DE"/>
    <w:rsid w:val="00156EE4"/>
    <w:rsid w:val="00157D35"/>
    <w:rsid w:val="0016171E"/>
    <w:rsid w:val="0016389E"/>
    <w:rsid w:val="00165A7F"/>
    <w:rsid w:val="00166D11"/>
    <w:rsid w:val="00167374"/>
    <w:rsid w:val="00171F85"/>
    <w:rsid w:val="00173C27"/>
    <w:rsid w:val="00176B6B"/>
    <w:rsid w:val="00181F77"/>
    <w:rsid w:val="00183631"/>
    <w:rsid w:val="00190C21"/>
    <w:rsid w:val="0019504C"/>
    <w:rsid w:val="00195E04"/>
    <w:rsid w:val="001A1E55"/>
    <w:rsid w:val="001A3A67"/>
    <w:rsid w:val="001A6A0A"/>
    <w:rsid w:val="001B7308"/>
    <w:rsid w:val="001C038A"/>
    <w:rsid w:val="001C40AB"/>
    <w:rsid w:val="001C6C46"/>
    <w:rsid w:val="001D17F2"/>
    <w:rsid w:val="001D45AF"/>
    <w:rsid w:val="001D605C"/>
    <w:rsid w:val="001E1458"/>
    <w:rsid w:val="001E1DE0"/>
    <w:rsid w:val="001E67A0"/>
    <w:rsid w:val="001F0410"/>
    <w:rsid w:val="001F60F7"/>
    <w:rsid w:val="00201E4B"/>
    <w:rsid w:val="00204CC0"/>
    <w:rsid w:val="00207DC1"/>
    <w:rsid w:val="002156D3"/>
    <w:rsid w:val="00216A3A"/>
    <w:rsid w:val="00216DFD"/>
    <w:rsid w:val="00221A05"/>
    <w:rsid w:val="00223128"/>
    <w:rsid w:val="00225C71"/>
    <w:rsid w:val="00226C6F"/>
    <w:rsid w:val="00232816"/>
    <w:rsid w:val="0023388F"/>
    <w:rsid w:val="002349B8"/>
    <w:rsid w:val="002404FD"/>
    <w:rsid w:val="00241088"/>
    <w:rsid w:val="00243CDD"/>
    <w:rsid w:val="00246F9C"/>
    <w:rsid w:val="0025055E"/>
    <w:rsid w:val="00252FCE"/>
    <w:rsid w:val="00260145"/>
    <w:rsid w:val="002655E0"/>
    <w:rsid w:val="002674F3"/>
    <w:rsid w:val="002733DB"/>
    <w:rsid w:val="0027735E"/>
    <w:rsid w:val="002805E2"/>
    <w:rsid w:val="002902FC"/>
    <w:rsid w:val="0029298A"/>
    <w:rsid w:val="002A1CAB"/>
    <w:rsid w:val="002A2330"/>
    <w:rsid w:val="002B21E8"/>
    <w:rsid w:val="002B4169"/>
    <w:rsid w:val="002C0266"/>
    <w:rsid w:val="002C15F1"/>
    <w:rsid w:val="002C5781"/>
    <w:rsid w:val="002D4D49"/>
    <w:rsid w:val="002E602B"/>
    <w:rsid w:val="002F1890"/>
    <w:rsid w:val="002F5348"/>
    <w:rsid w:val="0030122B"/>
    <w:rsid w:val="003013F6"/>
    <w:rsid w:val="0030288C"/>
    <w:rsid w:val="00304B9F"/>
    <w:rsid w:val="0030558D"/>
    <w:rsid w:val="0031409E"/>
    <w:rsid w:val="00315616"/>
    <w:rsid w:val="00321C5B"/>
    <w:rsid w:val="00334E79"/>
    <w:rsid w:val="003373AF"/>
    <w:rsid w:val="003377E4"/>
    <w:rsid w:val="003427EF"/>
    <w:rsid w:val="003445BA"/>
    <w:rsid w:val="0034502B"/>
    <w:rsid w:val="0035519C"/>
    <w:rsid w:val="003553C8"/>
    <w:rsid w:val="00360A7C"/>
    <w:rsid w:val="00370012"/>
    <w:rsid w:val="00372F74"/>
    <w:rsid w:val="003731A2"/>
    <w:rsid w:val="0037411B"/>
    <w:rsid w:val="00382BE0"/>
    <w:rsid w:val="00386EFC"/>
    <w:rsid w:val="00387AD9"/>
    <w:rsid w:val="003902CB"/>
    <w:rsid w:val="00392966"/>
    <w:rsid w:val="00392B15"/>
    <w:rsid w:val="00395FB1"/>
    <w:rsid w:val="003A16DA"/>
    <w:rsid w:val="003A72F0"/>
    <w:rsid w:val="003B086B"/>
    <w:rsid w:val="003C0E0E"/>
    <w:rsid w:val="003C54A6"/>
    <w:rsid w:val="003C7042"/>
    <w:rsid w:val="003C7467"/>
    <w:rsid w:val="003D47E5"/>
    <w:rsid w:val="003E44C7"/>
    <w:rsid w:val="003E44F8"/>
    <w:rsid w:val="003E734E"/>
    <w:rsid w:val="003E79DA"/>
    <w:rsid w:val="003F20EA"/>
    <w:rsid w:val="00415AF9"/>
    <w:rsid w:val="00420FF4"/>
    <w:rsid w:val="00426422"/>
    <w:rsid w:val="0042727C"/>
    <w:rsid w:val="00427585"/>
    <w:rsid w:val="00432D61"/>
    <w:rsid w:val="00433992"/>
    <w:rsid w:val="00434985"/>
    <w:rsid w:val="00434D00"/>
    <w:rsid w:val="00437794"/>
    <w:rsid w:val="00442D68"/>
    <w:rsid w:val="00456462"/>
    <w:rsid w:val="004615B6"/>
    <w:rsid w:val="004618BE"/>
    <w:rsid w:val="00461B47"/>
    <w:rsid w:val="00463455"/>
    <w:rsid w:val="004847B5"/>
    <w:rsid w:val="004851BC"/>
    <w:rsid w:val="0048734E"/>
    <w:rsid w:val="00491F43"/>
    <w:rsid w:val="004A1CAF"/>
    <w:rsid w:val="004A5852"/>
    <w:rsid w:val="004B6B29"/>
    <w:rsid w:val="004C6BA4"/>
    <w:rsid w:val="004D0474"/>
    <w:rsid w:val="004D3612"/>
    <w:rsid w:val="004D5E73"/>
    <w:rsid w:val="004E3B81"/>
    <w:rsid w:val="004E5CE6"/>
    <w:rsid w:val="004E5ED3"/>
    <w:rsid w:val="004E64F1"/>
    <w:rsid w:val="004E72D1"/>
    <w:rsid w:val="004F230B"/>
    <w:rsid w:val="004F33ED"/>
    <w:rsid w:val="004F51DF"/>
    <w:rsid w:val="00501346"/>
    <w:rsid w:val="00506C62"/>
    <w:rsid w:val="0051592E"/>
    <w:rsid w:val="00520368"/>
    <w:rsid w:val="005213D0"/>
    <w:rsid w:val="00523983"/>
    <w:rsid w:val="00524F3D"/>
    <w:rsid w:val="00524FD5"/>
    <w:rsid w:val="00526569"/>
    <w:rsid w:val="005312CE"/>
    <w:rsid w:val="00537567"/>
    <w:rsid w:val="005407DA"/>
    <w:rsid w:val="005411C2"/>
    <w:rsid w:val="005461E9"/>
    <w:rsid w:val="00546AF4"/>
    <w:rsid w:val="00560B79"/>
    <w:rsid w:val="00560D65"/>
    <w:rsid w:val="0056140F"/>
    <w:rsid w:val="00561903"/>
    <w:rsid w:val="0056238B"/>
    <w:rsid w:val="00562EA7"/>
    <w:rsid w:val="005667BC"/>
    <w:rsid w:val="005705F3"/>
    <w:rsid w:val="0057297A"/>
    <w:rsid w:val="00573AEE"/>
    <w:rsid w:val="005856A7"/>
    <w:rsid w:val="00597E21"/>
    <w:rsid w:val="005A117A"/>
    <w:rsid w:val="005A242B"/>
    <w:rsid w:val="005A2871"/>
    <w:rsid w:val="005A2B31"/>
    <w:rsid w:val="005A2E94"/>
    <w:rsid w:val="005B72F4"/>
    <w:rsid w:val="005C55AA"/>
    <w:rsid w:val="005C7F9E"/>
    <w:rsid w:val="005D52C3"/>
    <w:rsid w:val="005D70CF"/>
    <w:rsid w:val="005E0490"/>
    <w:rsid w:val="005E3A96"/>
    <w:rsid w:val="005E41A6"/>
    <w:rsid w:val="005E742D"/>
    <w:rsid w:val="005F255D"/>
    <w:rsid w:val="005F7EF1"/>
    <w:rsid w:val="00601928"/>
    <w:rsid w:val="00604057"/>
    <w:rsid w:val="00605F45"/>
    <w:rsid w:val="00610A80"/>
    <w:rsid w:val="00611E18"/>
    <w:rsid w:val="0062229B"/>
    <w:rsid w:val="00625B56"/>
    <w:rsid w:val="00633F89"/>
    <w:rsid w:val="0063777B"/>
    <w:rsid w:val="00641F23"/>
    <w:rsid w:val="006424C7"/>
    <w:rsid w:val="00646B5F"/>
    <w:rsid w:val="00647178"/>
    <w:rsid w:val="00651F07"/>
    <w:rsid w:val="00660DB9"/>
    <w:rsid w:val="00665AB5"/>
    <w:rsid w:val="006717F8"/>
    <w:rsid w:val="00671B7E"/>
    <w:rsid w:val="00676768"/>
    <w:rsid w:val="006849E6"/>
    <w:rsid w:val="00685502"/>
    <w:rsid w:val="00692FBB"/>
    <w:rsid w:val="00697160"/>
    <w:rsid w:val="00697225"/>
    <w:rsid w:val="006A0100"/>
    <w:rsid w:val="006A1733"/>
    <w:rsid w:val="006A3AE6"/>
    <w:rsid w:val="006B0082"/>
    <w:rsid w:val="006B15EC"/>
    <w:rsid w:val="006B33F8"/>
    <w:rsid w:val="006C4B79"/>
    <w:rsid w:val="006C4F8C"/>
    <w:rsid w:val="006C598F"/>
    <w:rsid w:val="006D361E"/>
    <w:rsid w:val="006D65AF"/>
    <w:rsid w:val="006E0A02"/>
    <w:rsid w:val="006F251A"/>
    <w:rsid w:val="006F3066"/>
    <w:rsid w:val="006F73A5"/>
    <w:rsid w:val="00701AD0"/>
    <w:rsid w:val="00702FBE"/>
    <w:rsid w:val="00703644"/>
    <w:rsid w:val="00703A8B"/>
    <w:rsid w:val="00704CF8"/>
    <w:rsid w:val="00711CFF"/>
    <w:rsid w:val="00715DC6"/>
    <w:rsid w:val="00716147"/>
    <w:rsid w:val="007177AA"/>
    <w:rsid w:val="00722E89"/>
    <w:rsid w:val="00726E4A"/>
    <w:rsid w:val="00730E89"/>
    <w:rsid w:val="007361EE"/>
    <w:rsid w:val="00736332"/>
    <w:rsid w:val="007435F8"/>
    <w:rsid w:val="0074393E"/>
    <w:rsid w:val="007445DE"/>
    <w:rsid w:val="00747ACE"/>
    <w:rsid w:val="00747F22"/>
    <w:rsid w:val="007507F1"/>
    <w:rsid w:val="00750BAB"/>
    <w:rsid w:val="0075299F"/>
    <w:rsid w:val="00755609"/>
    <w:rsid w:val="00763C05"/>
    <w:rsid w:val="00766B9C"/>
    <w:rsid w:val="00780174"/>
    <w:rsid w:val="00780632"/>
    <w:rsid w:val="00786C36"/>
    <w:rsid w:val="007902D7"/>
    <w:rsid w:val="00791037"/>
    <w:rsid w:val="007946E1"/>
    <w:rsid w:val="007950C4"/>
    <w:rsid w:val="007A3FDA"/>
    <w:rsid w:val="007A7557"/>
    <w:rsid w:val="007B70E9"/>
    <w:rsid w:val="007C1FAF"/>
    <w:rsid w:val="007C2CF8"/>
    <w:rsid w:val="007C2EA1"/>
    <w:rsid w:val="007C3DB9"/>
    <w:rsid w:val="007C55D2"/>
    <w:rsid w:val="007D7305"/>
    <w:rsid w:val="007E6B6C"/>
    <w:rsid w:val="007F5EBB"/>
    <w:rsid w:val="0080064F"/>
    <w:rsid w:val="00800DEE"/>
    <w:rsid w:val="00802305"/>
    <w:rsid w:val="008049F8"/>
    <w:rsid w:val="0081169D"/>
    <w:rsid w:val="008214FE"/>
    <w:rsid w:val="00825536"/>
    <w:rsid w:val="00826575"/>
    <w:rsid w:val="00830A99"/>
    <w:rsid w:val="0083586A"/>
    <w:rsid w:val="00842C0A"/>
    <w:rsid w:val="008458C8"/>
    <w:rsid w:val="0084620C"/>
    <w:rsid w:val="00847590"/>
    <w:rsid w:val="00854C32"/>
    <w:rsid w:val="00854CE1"/>
    <w:rsid w:val="00856D22"/>
    <w:rsid w:val="00866A8E"/>
    <w:rsid w:val="00867555"/>
    <w:rsid w:val="0087027A"/>
    <w:rsid w:val="008761ED"/>
    <w:rsid w:val="008807F0"/>
    <w:rsid w:val="0088317F"/>
    <w:rsid w:val="00883932"/>
    <w:rsid w:val="00893E1D"/>
    <w:rsid w:val="008971D5"/>
    <w:rsid w:val="008A33B8"/>
    <w:rsid w:val="008A394F"/>
    <w:rsid w:val="008B6529"/>
    <w:rsid w:val="008B6874"/>
    <w:rsid w:val="008C0EFA"/>
    <w:rsid w:val="008C1C60"/>
    <w:rsid w:val="008C65F1"/>
    <w:rsid w:val="008C76C2"/>
    <w:rsid w:val="008D161C"/>
    <w:rsid w:val="008D43B4"/>
    <w:rsid w:val="008D6D58"/>
    <w:rsid w:val="008E0BE9"/>
    <w:rsid w:val="008E22F2"/>
    <w:rsid w:val="008E54F0"/>
    <w:rsid w:val="008E6A33"/>
    <w:rsid w:val="008F4450"/>
    <w:rsid w:val="008F4A0C"/>
    <w:rsid w:val="008F6532"/>
    <w:rsid w:val="00902770"/>
    <w:rsid w:val="00902A37"/>
    <w:rsid w:val="00916907"/>
    <w:rsid w:val="009230BF"/>
    <w:rsid w:val="009249C9"/>
    <w:rsid w:val="00927FE7"/>
    <w:rsid w:val="00933791"/>
    <w:rsid w:val="00934065"/>
    <w:rsid w:val="009352CD"/>
    <w:rsid w:val="00960D05"/>
    <w:rsid w:val="009675B0"/>
    <w:rsid w:val="0096765E"/>
    <w:rsid w:val="00967BA6"/>
    <w:rsid w:val="009735BF"/>
    <w:rsid w:val="00975694"/>
    <w:rsid w:val="0097638D"/>
    <w:rsid w:val="0097656D"/>
    <w:rsid w:val="00980A1D"/>
    <w:rsid w:val="009915E8"/>
    <w:rsid w:val="009B44F9"/>
    <w:rsid w:val="009B78CD"/>
    <w:rsid w:val="009B7D1F"/>
    <w:rsid w:val="009C22C0"/>
    <w:rsid w:val="009D6849"/>
    <w:rsid w:val="009E05C9"/>
    <w:rsid w:val="009E32C7"/>
    <w:rsid w:val="009E3BBF"/>
    <w:rsid w:val="009E7A08"/>
    <w:rsid w:val="009F1192"/>
    <w:rsid w:val="009F145B"/>
    <w:rsid w:val="009F65F3"/>
    <w:rsid w:val="00A01172"/>
    <w:rsid w:val="00A056EE"/>
    <w:rsid w:val="00A10A04"/>
    <w:rsid w:val="00A13B31"/>
    <w:rsid w:val="00A21E34"/>
    <w:rsid w:val="00A22E13"/>
    <w:rsid w:val="00A26B70"/>
    <w:rsid w:val="00A3425D"/>
    <w:rsid w:val="00A37B54"/>
    <w:rsid w:val="00A402EC"/>
    <w:rsid w:val="00A5107F"/>
    <w:rsid w:val="00A5485E"/>
    <w:rsid w:val="00A55F7A"/>
    <w:rsid w:val="00A602A6"/>
    <w:rsid w:val="00A734D5"/>
    <w:rsid w:val="00A74118"/>
    <w:rsid w:val="00A754A9"/>
    <w:rsid w:val="00A82EC3"/>
    <w:rsid w:val="00A8720B"/>
    <w:rsid w:val="00A9178B"/>
    <w:rsid w:val="00A937BB"/>
    <w:rsid w:val="00AA1603"/>
    <w:rsid w:val="00AA23B2"/>
    <w:rsid w:val="00AA2C3B"/>
    <w:rsid w:val="00AA3C37"/>
    <w:rsid w:val="00AA468D"/>
    <w:rsid w:val="00AA6ACF"/>
    <w:rsid w:val="00AB0147"/>
    <w:rsid w:val="00AB7952"/>
    <w:rsid w:val="00AC037C"/>
    <w:rsid w:val="00AC1F09"/>
    <w:rsid w:val="00AC43CA"/>
    <w:rsid w:val="00AC450F"/>
    <w:rsid w:val="00AD2310"/>
    <w:rsid w:val="00AD3967"/>
    <w:rsid w:val="00AD4B03"/>
    <w:rsid w:val="00AF2021"/>
    <w:rsid w:val="00AF2F4E"/>
    <w:rsid w:val="00AF3C7C"/>
    <w:rsid w:val="00AF6497"/>
    <w:rsid w:val="00AF7836"/>
    <w:rsid w:val="00AF7BDD"/>
    <w:rsid w:val="00B04B8F"/>
    <w:rsid w:val="00B04C7A"/>
    <w:rsid w:val="00B05B7C"/>
    <w:rsid w:val="00B23188"/>
    <w:rsid w:val="00B24BB6"/>
    <w:rsid w:val="00B266E2"/>
    <w:rsid w:val="00B27FCA"/>
    <w:rsid w:val="00B377EA"/>
    <w:rsid w:val="00B42FDF"/>
    <w:rsid w:val="00B5411C"/>
    <w:rsid w:val="00B61C4F"/>
    <w:rsid w:val="00B61E55"/>
    <w:rsid w:val="00B708AB"/>
    <w:rsid w:val="00B7373B"/>
    <w:rsid w:val="00B825A0"/>
    <w:rsid w:val="00B8316C"/>
    <w:rsid w:val="00B836F6"/>
    <w:rsid w:val="00B92FF4"/>
    <w:rsid w:val="00B93596"/>
    <w:rsid w:val="00B9436F"/>
    <w:rsid w:val="00B956D8"/>
    <w:rsid w:val="00B97F1F"/>
    <w:rsid w:val="00BA05AE"/>
    <w:rsid w:val="00BA4148"/>
    <w:rsid w:val="00BA5CF6"/>
    <w:rsid w:val="00BB3F03"/>
    <w:rsid w:val="00BB4CA3"/>
    <w:rsid w:val="00BB755B"/>
    <w:rsid w:val="00BC259D"/>
    <w:rsid w:val="00BC31FF"/>
    <w:rsid w:val="00BC3A31"/>
    <w:rsid w:val="00BC58F9"/>
    <w:rsid w:val="00BC6FF0"/>
    <w:rsid w:val="00BC7FE4"/>
    <w:rsid w:val="00BD0BC1"/>
    <w:rsid w:val="00BF1AD5"/>
    <w:rsid w:val="00BF3A52"/>
    <w:rsid w:val="00C0024B"/>
    <w:rsid w:val="00C00CBD"/>
    <w:rsid w:val="00C0169A"/>
    <w:rsid w:val="00C0362F"/>
    <w:rsid w:val="00C037E3"/>
    <w:rsid w:val="00C03842"/>
    <w:rsid w:val="00C0403A"/>
    <w:rsid w:val="00C042B6"/>
    <w:rsid w:val="00C11556"/>
    <w:rsid w:val="00C12B7D"/>
    <w:rsid w:val="00C13837"/>
    <w:rsid w:val="00C153D6"/>
    <w:rsid w:val="00C15AD3"/>
    <w:rsid w:val="00C170E9"/>
    <w:rsid w:val="00C22104"/>
    <w:rsid w:val="00C277A1"/>
    <w:rsid w:val="00C36372"/>
    <w:rsid w:val="00C36B0B"/>
    <w:rsid w:val="00C411BD"/>
    <w:rsid w:val="00C41A89"/>
    <w:rsid w:val="00C47279"/>
    <w:rsid w:val="00C52269"/>
    <w:rsid w:val="00C548A0"/>
    <w:rsid w:val="00C61BF7"/>
    <w:rsid w:val="00C668CA"/>
    <w:rsid w:val="00C66EC6"/>
    <w:rsid w:val="00C70A4C"/>
    <w:rsid w:val="00C76465"/>
    <w:rsid w:val="00C77454"/>
    <w:rsid w:val="00C77CAE"/>
    <w:rsid w:val="00C83117"/>
    <w:rsid w:val="00C84C8A"/>
    <w:rsid w:val="00C878C6"/>
    <w:rsid w:val="00C940B3"/>
    <w:rsid w:val="00CB0F6B"/>
    <w:rsid w:val="00CB404D"/>
    <w:rsid w:val="00CB42E6"/>
    <w:rsid w:val="00CB6857"/>
    <w:rsid w:val="00CC312F"/>
    <w:rsid w:val="00CD0EE4"/>
    <w:rsid w:val="00CD7AE5"/>
    <w:rsid w:val="00CE3EB3"/>
    <w:rsid w:val="00CF3ED6"/>
    <w:rsid w:val="00D00290"/>
    <w:rsid w:val="00D017C3"/>
    <w:rsid w:val="00D12747"/>
    <w:rsid w:val="00D15275"/>
    <w:rsid w:val="00D16ECF"/>
    <w:rsid w:val="00D218FF"/>
    <w:rsid w:val="00D22001"/>
    <w:rsid w:val="00D328F6"/>
    <w:rsid w:val="00D36D11"/>
    <w:rsid w:val="00D40232"/>
    <w:rsid w:val="00D408A9"/>
    <w:rsid w:val="00D434FB"/>
    <w:rsid w:val="00D44CB5"/>
    <w:rsid w:val="00D47BB6"/>
    <w:rsid w:val="00D50A64"/>
    <w:rsid w:val="00D51B73"/>
    <w:rsid w:val="00D556C9"/>
    <w:rsid w:val="00D6599C"/>
    <w:rsid w:val="00D745DE"/>
    <w:rsid w:val="00D801FE"/>
    <w:rsid w:val="00D81994"/>
    <w:rsid w:val="00D833D1"/>
    <w:rsid w:val="00D91CF5"/>
    <w:rsid w:val="00D941A6"/>
    <w:rsid w:val="00D9712E"/>
    <w:rsid w:val="00DA3E07"/>
    <w:rsid w:val="00DB6F12"/>
    <w:rsid w:val="00DB7998"/>
    <w:rsid w:val="00DC0523"/>
    <w:rsid w:val="00DC0F33"/>
    <w:rsid w:val="00DD0745"/>
    <w:rsid w:val="00DD169C"/>
    <w:rsid w:val="00DD188E"/>
    <w:rsid w:val="00DD2302"/>
    <w:rsid w:val="00DD24EB"/>
    <w:rsid w:val="00DD2544"/>
    <w:rsid w:val="00DD400A"/>
    <w:rsid w:val="00DD50AB"/>
    <w:rsid w:val="00DE58F9"/>
    <w:rsid w:val="00DF352E"/>
    <w:rsid w:val="00DF64FC"/>
    <w:rsid w:val="00DF7C33"/>
    <w:rsid w:val="00E007DB"/>
    <w:rsid w:val="00E01A09"/>
    <w:rsid w:val="00E02C8C"/>
    <w:rsid w:val="00E0455B"/>
    <w:rsid w:val="00E10A68"/>
    <w:rsid w:val="00E16D26"/>
    <w:rsid w:val="00E21644"/>
    <w:rsid w:val="00E22DDA"/>
    <w:rsid w:val="00E273CE"/>
    <w:rsid w:val="00E31537"/>
    <w:rsid w:val="00E315E4"/>
    <w:rsid w:val="00E34E3F"/>
    <w:rsid w:val="00E3686C"/>
    <w:rsid w:val="00E37875"/>
    <w:rsid w:val="00E37A3C"/>
    <w:rsid w:val="00E40E2F"/>
    <w:rsid w:val="00E53E6E"/>
    <w:rsid w:val="00E55D72"/>
    <w:rsid w:val="00E71696"/>
    <w:rsid w:val="00E73F60"/>
    <w:rsid w:val="00E8272C"/>
    <w:rsid w:val="00E8361A"/>
    <w:rsid w:val="00E90CD0"/>
    <w:rsid w:val="00E91A55"/>
    <w:rsid w:val="00E922CA"/>
    <w:rsid w:val="00E92C71"/>
    <w:rsid w:val="00E9434D"/>
    <w:rsid w:val="00E97E30"/>
    <w:rsid w:val="00EA1E32"/>
    <w:rsid w:val="00EA4D52"/>
    <w:rsid w:val="00EC0F29"/>
    <w:rsid w:val="00EC6A74"/>
    <w:rsid w:val="00EE1B32"/>
    <w:rsid w:val="00EF1379"/>
    <w:rsid w:val="00EF191E"/>
    <w:rsid w:val="00EF20A5"/>
    <w:rsid w:val="00EF2B1F"/>
    <w:rsid w:val="00EF36BD"/>
    <w:rsid w:val="00EF3E12"/>
    <w:rsid w:val="00EF51B7"/>
    <w:rsid w:val="00EF728B"/>
    <w:rsid w:val="00EF79E9"/>
    <w:rsid w:val="00F14299"/>
    <w:rsid w:val="00F22EC5"/>
    <w:rsid w:val="00F35BF5"/>
    <w:rsid w:val="00F36D25"/>
    <w:rsid w:val="00F42C67"/>
    <w:rsid w:val="00F440C3"/>
    <w:rsid w:val="00F52808"/>
    <w:rsid w:val="00F555AD"/>
    <w:rsid w:val="00F55BF4"/>
    <w:rsid w:val="00F600E5"/>
    <w:rsid w:val="00F60699"/>
    <w:rsid w:val="00F65CA0"/>
    <w:rsid w:val="00F674F1"/>
    <w:rsid w:val="00F72CFC"/>
    <w:rsid w:val="00F749D4"/>
    <w:rsid w:val="00F93F7E"/>
    <w:rsid w:val="00F96C12"/>
    <w:rsid w:val="00FA08AE"/>
    <w:rsid w:val="00FA2DE8"/>
    <w:rsid w:val="00FA507A"/>
    <w:rsid w:val="00FA5BD0"/>
    <w:rsid w:val="00FB134A"/>
    <w:rsid w:val="00FB28D2"/>
    <w:rsid w:val="00FB508B"/>
    <w:rsid w:val="00FB5D2E"/>
    <w:rsid w:val="00FB6001"/>
    <w:rsid w:val="00FB7645"/>
    <w:rsid w:val="00FC038D"/>
    <w:rsid w:val="00FC0AC0"/>
    <w:rsid w:val="00FC36C6"/>
    <w:rsid w:val="00FD3BA0"/>
    <w:rsid w:val="00FD74A1"/>
    <w:rsid w:val="00FE29D6"/>
    <w:rsid w:val="00FE41FE"/>
    <w:rsid w:val="00FE5BBB"/>
    <w:rsid w:val="00FF227C"/>
    <w:rsid w:val="00FF3DC1"/>
    <w:rsid w:val="00FF434B"/>
    <w:rsid w:val="04910F28"/>
    <w:rsid w:val="0AF40174"/>
    <w:rsid w:val="0D4D44E5"/>
    <w:rsid w:val="16F3036C"/>
    <w:rsid w:val="1CD4D3D3"/>
    <w:rsid w:val="1F15354A"/>
    <w:rsid w:val="21D4BB38"/>
    <w:rsid w:val="220365DF"/>
    <w:rsid w:val="26797915"/>
    <w:rsid w:val="3876094D"/>
    <w:rsid w:val="4260A1E5"/>
    <w:rsid w:val="45305129"/>
    <w:rsid w:val="47F6C7A7"/>
    <w:rsid w:val="48786C87"/>
    <w:rsid w:val="56889331"/>
    <w:rsid w:val="61A9D082"/>
    <w:rsid w:val="633B6D3D"/>
    <w:rsid w:val="65B4A7AB"/>
    <w:rsid w:val="67A3F758"/>
    <w:rsid w:val="67EC7F67"/>
    <w:rsid w:val="69996936"/>
    <w:rsid w:val="71A6FF0A"/>
    <w:rsid w:val="7FEEC6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2A0C"/>
  <w15:chartTrackingRefBased/>
  <w15:docId w15:val="{C5FA1035-0059-4166-8463-4DA62D3B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4D"/>
    <w:pPr>
      <w:spacing w:after="0" w:line="240" w:lineRule="auto"/>
    </w:pPr>
    <w:rPr>
      <w:rFonts w:ascii="Garamond" w:eastAsia="Times New Roman" w:hAnsi="Garamond"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2texte">
    <w:name w:val="Niveau 2 texte"/>
    <w:basedOn w:val="Normal"/>
    <w:link w:val="Niveau2texteCar"/>
    <w:rsid w:val="00E9434D"/>
    <w:pPr>
      <w:keepLines/>
      <w:widowControl w:val="0"/>
      <w:autoSpaceDE w:val="0"/>
      <w:autoSpaceDN w:val="0"/>
      <w:adjustRightInd w:val="0"/>
      <w:spacing w:before="120" w:after="120"/>
      <w:ind w:left="709"/>
    </w:pPr>
    <w:rPr>
      <w:rFonts w:ascii="Arial" w:hAnsi="Arial" w:cs="Arial"/>
      <w:szCs w:val="22"/>
      <w:lang w:val="en-CA"/>
    </w:rPr>
  </w:style>
  <w:style w:type="character" w:customStyle="1" w:styleId="Niveau2texteCar">
    <w:name w:val="Niveau 2 texte Car"/>
    <w:link w:val="Niveau2texte"/>
    <w:rsid w:val="00E9434D"/>
    <w:rPr>
      <w:rFonts w:ascii="Arial" w:eastAsia="Times New Roman" w:hAnsi="Arial" w:cs="Arial"/>
      <w:lang w:val="en-CA"/>
    </w:rPr>
  </w:style>
  <w:style w:type="character" w:styleId="Appelnotedebasdep">
    <w:name w:val="footnote reference"/>
    <w:semiHidden/>
    <w:rsid w:val="00C12B7D"/>
    <w:rPr>
      <w:vertAlign w:val="superscript"/>
    </w:rPr>
  </w:style>
  <w:style w:type="paragraph" w:styleId="Paragraphedeliste">
    <w:name w:val="List Paragraph"/>
    <w:basedOn w:val="Normal"/>
    <w:uiPriority w:val="34"/>
    <w:qFormat/>
    <w:rsid w:val="00C12B7D"/>
    <w:pPr>
      <w:widowControl w:val="0"/>
      <w:autoSpaceDE w:val="0"/>
      <w:autoSpaceDN w:val="0"/>
      <w:adjustRightInd w:val="0"/>
      <w:ind w:left="708"/>
    </w:pPr>
    <w:rPr>
      <w:rFonts w:ascii="Arial" w:hAnsi="Arial" w:cs="Arial"/>
      <w:szCs w:val="22"/>
      <w:lang w:val="en-US"/>
    </w:rPr>
  </w:style>
  <w:style w:type="paragraph" w:customStyle="1" w:styleId="TitreBase">
    <w:name w:val="Titre (Base)"/>
    <w:basedOn w:val="Corpsdetexte"/>
    <w:next w:val="Corpsdetexte"/>
    <w:rsid w:val="00E8361A"/>
    <w:pPr>
      <w:keepNext/>
      <w:keepLines/>
      <w:spacing w:after="0" w:line="240" w:lineRule="atLeast"/>
    </w:pPr>
    <w:rPr>
      <w:kern w:val="20"/>
    </w:rPr>
  </w:style>
  <w:style w:type="paragraph" w:styleId="Corpsdetexte">
    <w:name w:val="Body Text"/>
    <w:basedOn w:val="Normal"/>
    <w:link w:val="CorpsdetexteCar"/>
    <w:uiPriority w:val="99"/>
    <w:semiHidden/>
    <w:unhideWhenUsed/>
    <w:rsid w:val="00E8361A"/>
    <w:pPr>
      <w:spacing w:after="120"/>
    </w:pPr>
  </w:style>
  <w:style w:type="character" w:customStyle="1" w:styleId="CorpsdetexteCar">
    <w:name w:val="Corps de texte Car"/>
    <w:basedOn w:val="Policepardfaut"/>
    <w:link w:val="Corpsdetexte"/>
    <w:uiPriority w:val="99"/>
    <w:semiHidden/>
    <w:rsid w:val="00E8361A"/>
    <w:rPr>
      <w:rFonts w:ascii="Garamond" w:eastAsia="Times New Roman" w:hAnsi="Garamond" w:cs="Times New Roman"/>
      <w:szCs w:val="20"/>
    </w:rPr>
  </w:style>
  <w:style w:type="paragraph" w:styleId="Titre">
    <w:name w:val="Title"/>
    <w:basedOn w:val="TitreBase"/>
    <w:next w:val="Sous-titre"/>
    <w:link w:val="TitreCar"/>
    <w:qFormat/>
    <w:rsid w:val="00E8361A"/>
    <w:pPr>
      <w:spacing w:before="140" w:line="240" w:lineRule="auto"/>
      <w:jc w:val="center"/>
    </w:pPr>
    <w:rPr>
      <w:caps/>
      <w:spacing w:val="60"/>
      <w:sz w:val="44"/>
    </w:rPr>
  </w:style>
  <w:style w:type="character" w:customStyle="1" w:styleId="TitreCar">
    <w:name w:val="Titre Car"/>
    <w:basedOn w:val="Policepardfaut"/>
    <w:link w:val="Titre"/>
    <w:rsid w:val="00E8361A"/>
    <w:rPr>
      <w:rFonts w:ascii="Garamond" w:eastAsia="Times New Roman" w:hAnsi="Garamond" w:cs="Times New Roman"/>
      <w:caps/>
      <w:spacing w:val="60"/>
      <w:kern w:val="20"/>
      <w:sz w:val="44"/>
      <w:szCs w:val="20"/>
    </w:rPr>
  </w:style>
  <w:style w:type="paragraph" w:styleId="Sous-titre">
    <w:name w:val="Subtitle"/>
    <w:basedOn w:val="Normal"/>
    <w:next w:val="Normal"/>
    <w:link w:val="Sous-titreCar"/>
    <w:uiPriority w:val="11"/>
    <w:qFormat/>
    <w:rsid w:val="00E8361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E8361A"/>
    <w:rPr>
      <w:rFonts w:eastAsiaTheme="minorEastAsia"/>
      <w:color w:val="5A5A5A" w:themeColor="text1" w:themeTint="A5"/>
      <w:spacing w:val="15"/>
    </w:rPr>
  </w:style>
  <w:style w:type="paragraph" w:styleId="En-tte">
    <w:name w:val="header"/>
    <w:basedOn w:val="Normal"/>
    <w:link w:val="En-tteCar"/>
    <w:uiPriority w:val="99"/>
    <w:unhideWhenUsed/>
    <w:rsid w:val="003A16DA"/>
    <w:pPr>
      <w:tabs>
        <w:tab w:val="center" w:pos="4320"/>
        <w:tab w:val="right" w:pos="8640"/>
      </w:tabs>
    </w:pPr>
  </w:style>
  <w:style w:type="character" w:customStyle="1" w:styleId="En-tteCar">
    <w:name w:val="En-tête Car"/>
    <w:basedOn w:val="Policepardfaut"/>
    <w:link w:val="En-tte"/>
    <w:uiPriority w:val="99"/>
    <w:rsid w:val="003A16DA"/>
    <w:rPr>
      <w:rFonts w:ascii="Garamond" w:eastAsia="Times New Roman" w:hAnsi="Garamond" w:cs="Times New Roman"/>
      <w:szCs w:val="20"/>
    </w:rPr>
  </w:style>
  <w:style w:type="paragraph" w:styleId="Pieddepage">
    <w:name w:val="footer"/>
    <w:basedOn w:val="Normal"/>
    <w:link w:val="PieddepageCar"/>
    <w:uiPriority w:val="99"/>
    <w:unhideWhenUsed/>
    <w:rsid w:val="003A16DA"/>
    <w:pPr>
      <w:tabs>
        <w:tab w:val="center" w:pos="4320"/>
        <w:tab w:val="right" w:pos="8640"/>
      </w:tabs>
    </w:pPr>
  </w:style>
  <w:style w:type="character" w:customStyle="1" w:styleId="PieddepageCar">
    <w:name w:val="Pied de page Car"/>
    <w:basedOn w:val="Policepardfaut"/>
    <w:link w:val="Pieddepage"/>
    <w:uiPriority w:val="99"/>
    <w:rsid w:val="003A16DA"/>
    <w:rPr>
      <w:rFonts w:ascii="Garamond" w:eastAsia="Times New Roman" w:hAnsi="Garamond" w:cs="Times New Roman"/>
      <w:szCs w:val="20"/>
    </w:rPr>
  </w:style>
  <w:style w:type="character" w:styleId="Marquedecommentaire">
    <w:name w:val="annotation reference"/>
    <w:basedOn w:val="Policepardfaut"/>
    <w:uiPriority w:val="99"/>
    <w:semiHidden/>
    <w:unhideWhenUsed/>
    <w:rsid w:val="00FA2DE8"/>
    <w:rPr>
      <w:sz w:val="16"/>
      <w:szCs w:val="16"/>
    </w:rPr>
  </w:style>
  <w:style w:type="paragraph" w:styleId="Commentaire">
    <w:name w:val="annotation text"/>
    <w:basedOn w:val="Normal"/>
    <w:link w:val="CommentaireCar"/>
    <w:uiPriority w:val="99"/>
    <w:unhideWhenUsed/>
    <w:rsid w:val="00FA2DE8"/>
    <w:rPr>
      <w:sz w:val="20"/>
    </w:rPr>
  </w:style>
  <w:style w:type="character" w:customStyle="1" w:styleId="CommentaireCar">
    <w:name w:val="Commentaire Car"/>
    <w:basedOn w:val="Policepardfaut"/>
    <w:link w:val="Commentaire"/>
    <w:uiPriority w:val="99"/>
    <w:rsid w:val="00FA2DE8"/>
    <w:rPr>
      <w:rFonts w:ascii="Garamond" w:eastAsia="Times New Roman" w:hAnsi="Garamond" w:cs="Times New Roman"/>
      <w:sz w:val="20"/>
      <w:szCs w:val="20"/>
    </w:rPr>
  </w:style>
  <w:style w:type="paragraph" w:styleId="Objetducommentaire">
    <w:name w:val="annotation subject"/>
    <w:basedOn w:val="Commentaire"/>
    <w:next w:val="Commentaire"/>
    <w:link w:val="ObjetducommentaireCar"/>
    <w:uiPriority w:val="99"/>
    <w:semiHidden/>
    <w:unhideWhenUsed/>
    <w:rsid w:val="00FA2DE8"/>
    <w:rPr>
      <w:b/>
      <w:bCs/>
    </w:rPr>
  </w:style>
  <w:style w:type="character" w:customStyle="1" w:styleId="ObjetducommentaireCar">
    <w:name w:val="Objet du commentaire Car"/>
    <w:basedOn w:val="CommentaireCar"/>
    <w:link w:val="Objetducommentaire"/>
    <w:uiPriority w:val="99"/>
    <w:semiHidden/>
    <w:rsid w:val="00FA2DE8"/>
    <w:rPr>
      <w:rFonts w:ascii="Garamond" w:eastAsia="Times New Roman" w:hAnsi="Garamond" w:cs="Times New Roman"/>
      <w:b/>
      <w:bCs/>
      <w:sz w:val="20"/>
      <w:szCs w:val="20"/>
    </w:rPr>
  </w:style>
  <w:style w:type="paragraph" w:styleId="Notedefin">
    <w:name w:val="endnote text"/>
    <w:basedOn w:val="Normal"/>
    <w:link w:val="NotedefinCar"/>
    <w:uiPriority w:val="99"/>
    <w:semiHidden/>
    <w:unhideWhenUsed/>
    <w:rsid w:val="00DD24EB"/>
    <w:rPr>
      <w:sz w:val="20"/>
    </w:rPr>
  </w:style>
  <w:style w:type="character" w:customStyle="1" w:styleId="NotedefinCar">
    <w:name w:val="Note de fin Car"/>
    <w:basedOn w:val="Policepardfaut"/>
    <w:link w:val="Notedefin"/>
    <w:uiPriority w:val="99"/>
    <w:semiHidden/>
    <w:rsid w:val="00DD24EB"/>
    <w:rPr>
      <w:rFonts w:ascii="Garamond" w:eastAsia="Times New Roman" w:hAnsi="Garamond" w:cs="Times New Roman"/>
      <w:sz w:val="20"/>
      <w:szCs w:val="20"/>
    </w:rPr>
  </w:style>
  <w:style w:type="paragraph" w:styleId="Notedebasdepage">
    <w:name w:val="footnote text"/>
    <w:basedOn w:val="Normal"/>
    <w:link w:val="NotedebasdepageCar"/>
    <w:uiPriority w:val="99"/>
    <w:semiHidden/>
    <w:unhideWhenUsed/>
    <w:rsid w:val="00DD24EB"/>
    <w:rPr>
      <w:sz w:val="20"/>
    </w:rPr>
  </w:style>
  <w:style w:type="character" w:customStyle="1" w:styleId="NotedebasdepageCar">
    <w:name w:val="Note de bas de page Car"/>
    <w:basedOn w:val="Policepardfaut"/>
    <w:link w:val="Notedebasdepage"/>
    <w:uiPriority w:val="99"/>
    <w:semiHidden/>
    <w:rsid w:val="00DD24EB"/>
    <w:rPr>
      <w:rFonts w:ascii="Garamond" w:eastAsia="Times New Roman" w:hAnsi="Garamond" w:cs="Times New Roman"/>
      <w:sz w:val="20"/>
      <w:szCs w:val="20"/>
    </w:rPr>
  </w:style>
  <w:style w:type="character" w:styleId="Appeldenotedefin">
    <w:name w:val="endnote reference"/>
    <w:basedOn w:val="Policepardfaut"/>
    <w:uiPriority w:val="99"/>
    <w:semiHidden/>
    <w:unhideWhenUsed/>
    <w:rsid w:val="00DD24EB"/>
    <w:rPr>
      <w:vertAlign w:val="superscript"/>
    </w:rPr>
  </w:style>
  <w:style w:type="paragraph" w:styleId="Rvision">
    <w:name w:val="Revision"/>
    <w:hidden/>
    <w:uiPriority w:val="99"/>
    <w:semiHidden/>
    <w:rsid w:val="00176B6B"/>
    <w:pPr>
      <w:spacing w:after="0" w:line="240" w:lineRule="auto"/>
    </w:pPr>
    <w:rPr>
      <w:rFonts w:ascii="Garamond" w:eastAsia="Times New Roman" w:hAnsi="Garamond" w:cs="Times New Roman"/>
      <w:szCs w:val="20"/>
    </w:rPr>
  </w:style>
  <w:style w:type="character" w:styleId="Lienhypertexte">
    <w:name w:val="Hyperlink"/>
    <w:uiPriority w:val="99"/>
    <w:rsid w:val="00755609"/>
    <w:rPr>
      <w:color w:val="0000FF"/>
      <w:u w:val="single"/>
      <w:lang w:val="fr-FR"/>
    </w:rPr>
  </w:style>
  <w:style w:type="character" w:styleId="Mentionnonrsolue">
    <w:name w:val="Unresolved Mention"/>
    <w:basedOn w:val="Policepardfaut"/>
    <w:uiPriority w:val="99"/>
    <w:semiHidden/>
    <w:unhideWhenUsed/>
    <w:rsid w:val="00FC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tourisme-et-loisirs/services-industrie-touristique/aide-financiere/guide-adjudication-contrats-construction" TargetMode="External"/><Relationship Id="rId18" Type="http://schemas.openxmlformats.org/officeDocument/2006/relationships/hyperlink" Target="https://aventure-ecotourisme.ca/notre-expertise/accreditation-qualite-secur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qlf.gouv.qc.ca/francisation/admin_publ/conformite-des-entreprises-verification-contrat-subvention.pdf" TargetMode="External"/><Relationship Id="rId2" Type="http://schemas.openxmlformats.org/officeDocument/2006/relationships/customXml" Target="../customXml/item2.xml"/><Relationship Id="rId16" Type="http://schemas.openxmlformats.org/officeDocument/2006/relationships/hyperlink" Target="https://www.oqlf.gouv.qc.ca/francisation/entrepri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resor.gouv.qc.ca/faire-affaire-avec-letat/cadre-normatif-de-la-gestion-contractuelle/autres-exigences/programme-dacces-a-legalit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culture/integration-oeuvres-art-public/a-propos-integration-oeuv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448ba-ba18-47c5-aeef-91766fffcbf1" xsi:nil="true"/>
    <lcf76f155ced4ddcb4097134ff3c332f xmlns="50c31df3-b571-4c7d-a972-08c3d80c41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D58BF8EA30944A907D5764DEC95DA5" ma:contentTypeVersion="15" ma:contentTypeDescription="Crée un document." ma:contentTypeScope="" ma:versionID="3559fa536d0d3a53fbced2572c8d9c0f">
  <xsd:schema xmlns:xsd="http://www.w3.org/2001/XMLSchema" xmlns:xs="http://www.w3.org/2001/XMLSchema" xmlns:p="http://schemas.microsoft.com/office/2006/metadata/properties" xmlns:ns2="50c31df3-b571-4c7d-a972-08c3d80c4102" xmlns:ns3="77d448ba-ba18-47c5-aeef-91766fffcbf1" targetNamespace="http://schemas.microsoft.com/office/2006/metadata/properties" ma:root="true" ma:fieldsID="24870bcd83d97f273bc088f546bb66ea" ns2:_="" ns3:_="">
    <xsd:import namespace="50c31df3-b571-4c7d-a972-08c3d80c4102"/>
    <xsd:import namespace="77d448ba-ba18-47c5-aeef-91766fffcb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1df3-b571-4c7d-a972-08c3d80c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448ba-ba18-47c5-aeef-91766fffcb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095977-3b01-4349-8b4b-2300f17cee52}" ma:internalName="TaxCatchAll" ma:showField="CatchAllData" ma:web="77d448ba-ba18-47c5-aeef-91766fffc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6148-10AD-4971-BAB8-5F0330DB97C6}">
  <ds:schemaRefs>
    <ds:schemaRef ds:uri="77d448ba-ba18-47c5-aeef-91766fffcbf1"/>
    <ds:schemaRef ds:uri="50c31df3-b571-4c7d-a972-08c3d80c410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D18B79-D012-45F8-AF79-0F2A18765E3D}">
  <ds:schemaRefs>
    <ds:schemaRef ds:uri="http://schemas.microsoft.com/sharepoint/v3/contenttype/forms"/>
  </ds:schemaRefs>
</ds:datastoreItem>
</file>

<file path=customXml/itemProps3.xml><?xml version="1.0" encoding="utf-8"?>
<ds:datastoreItem xmlns:ds="http://schemas.openxmlformats.org/officeDocument/2006/customXml" ds:itemID="{AD508EF3-D1A5-449A-93C2-17E3BA3A1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1df3-b571-4c7d-a972-08c3d80c4102"/>
    <ds:schemaRef ds:uri="77d448ba-ba18-47c5-aeef-91766fff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388C-D4AC-4EAB-811F-D7C95B1E2243}">
  <ds:schemaRefs>
    <ds:schemaRef ds:uri="http://schemas.openxmlformats.org/officeDocument/2006/bibliography"/>
  </ds:schemaRefs>
</ds:datastoreItem>
</file>

<file path=docMetadata/LabelInfo.xml><?xml version="1.0" encoding="utf-8"?>
<clbl:labelList xmlns:clbl="http://schemas.microsoft.com/office/2020/mipLabelMetadata">
  <clbl:label id="{5d690423-3dfe-4e08-be40-3a1427765427}" enabled="0" method="" siteId="{5d690423-3dfe-4e08-be40-3a1427765427}" removed="1"/>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1471</Words>
  <Characters>8258</Characters>
  <Application>Microsoft Office Word</Application>
  <DocSecurity>0</DocSecurity>
  <Lines>211</Lines>
  <Paragraphs>114</Paragraphs>
  <ScaleCrop>false</ScaleCrop>
  <Company/>
  <LinksUpToDate>false</LinksUpToDate>
  <CharactersWithSpaces>9615</CharactersWithSpaces>
  <SharedDoc>false</SharedDoc>
  <HLinks>
    <vt:vector size="36" baseType="variant">
      <vt:variant>
        <vt:i4>3801136</vt:i4>
      </vt:variant>
      <vt:variant>
        <vt:i4>15</vt:i4>
      </vt:variant>
      <vt:variant>
        <vt:i4>0</vt:i4>
      </vt:variant>
      <vt:variant>
        <vt:i4>5</vt:i4>
      </vt:variant>
      <vt:variant>
        <vt:lpwstr>https://aventure-ecotourisme.ca/notre-expertise/accreditation-qualite-securite</vt:lpwstr>
      </vt:variant>
      <vt:variant>
        <vt:lpwstr/>
      </vt:variant>
      <vt:variant>
        <vt:i4>7995484</vt:i4>
      </vt:variant>
      <vt:variant>
        <vt:i4>12</vt:i4>
      </vt:variant>
      <vt:variant>
        <vt:i4>0</vt:i4>
      </vt:variant>
      <vt:variant>
        <vt:i4>5</vt:i4>
      </vt:variant>
      <vt:variant>
        <vt:lpwstr>https://www.oqlf.gouv.qc.ca/francisation/admin_publ/conformite-des-entreprises-verification-contrat-subvention.pdf</vt:lpwstr>
      </vt:variant>
      <vt:variant>
        <vt:lpwstr/>
      </vt:variant>
      <vt:variant>
        <vt:i4>5832713</vt:i4>
      </vt:variant>
      <vt:variant>
        <vt:i4>9</vt:i4>
      </vt:variant>
      <vt:variant>
        <vt:i4>0</vt:i4>
      </vt:variant>
      <vt:variant>
        <vt:i4>5</vt:i4>
      </vt:variant>
      <vt:variant>
        <vt:lpwstr>https://www.oqlf.gouv.qc.ca/francisation/entreprises/</vt:lpwstr>
      </vt:variant>
      <vt:variant>
        <vt:lpwstr/>
      </vt:variant>
      <vt:variant>
        <vt:i4>3211376</vt:i4>
      </vt:variant>
      <vt:variant>
        <vt:i4>6</vt:i4>
      </vt:variant>
      <vt:variant>
        <vt:i4>0</vt:i4>
      </vt:variant>
      <vt:variant>
        <vt:i4>5</vt:i4>
      </vt:variant>
      <vt:variant>
        <vt:lpwstr>https://www.tresor.gouv.qc.ca/faire-affaire-avec-letat/cadre-normatif-de-la-gestion-contractuelle/autres-exigences/programme-dacces-a-legalite/</vt:lpwstr>
      </vt:variant>
      <vt:variant>
        <vt:lpwstr/>
      </vt:variant>
      <vt:variant>
        <vt:i4>1572879</vt:i4>
      </vt:variant>
      <vt:variant>
        <vt:i4>3</vt:i4>
      </vt:variant>
      <vt:variant>
        <vt:i4>0</vt:i4>
      </vt:variant>
      <vt:variant>
        <vt:i4>5</vt:i4>
      </vt:variant>
      <vt:variant>
        <vt:lpwstr>https://www.quebec.ca/culture/integration-oeuvres-art-public/a-propos-integration-oeuvres</vt:lpwstr>
      </vt:variant>
      <vt:variant>
        <vt:lpwstr/>
      </vt:variant>
      <vt:variant>
        <vt:i4>1835093</vt:i4>
      </vt:variant>
      <vt:variant>
        <vt:i4>0</vt:i4>
      </vt:variant>
      <vt:variant>
        <vt:i4>0</vt:i4>
      </vt:variant>
      <vt:variant>
        <vt:i4>5</vt:i4>
      </vt:variant>
      <vt:variant>
        <vt:lpwstr>https://www.quebec.ca/tourisme-et-loisirs/services-industrie-touristique/aide-financiere/guide-adjudication-contrats-construction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promoteur Structuration de l'offre touristique régionale</dc:title>
  <dc:subject/>
  <dc:creator>FraCote</dc:creator>
  <cp:keywords/>
  <dc:description/>
  <cp:lastModifiedBy>Robitaille, Marike (DQC-DAD)</cp:lastModifiedBy>
  <cp:revision>234</cp:revision>
  <dcterms:created xsi:type="dcterms:W3CDTF">2023-07-12T21:26:00Z</dcterms:created>
  <dcterms:modified xsi:type="dcterms:W3CDTF">2025-12-01T18:12:00Z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0x010100ADD58BF8EA30944A907D5764DEC95DA5</vt:lpwstr>
  </property>
  <property fmtid="{D5CDD505-2E9C-101B-9397-08002B2CF9AE}" pid="3" name="_dlc_DocIdItemGuid">
    <vt:lpwstr>a94fe94d-f8a9-4635-8bdb-4d29d3aa1f1a</vt:lpwstr>
  </property>
  <property fmtid="{D5CDD505-2E9C-101B-9397-08002B2CF9AE}" pid="4" name="h906db0d34ff4e228acd308bc53b014b">
    <vt:lpwstr/>
  </property>
  <property fmtid="{D5CDD505-2E9C-101B-9397-08002B2CF9AE}" pid="5" name="jbe93ce376e641629eac105e6a63a410">
    <vt:lpwstr/>
  </property>
  <property fmtid="{D5CDD505-2E9C-101B-9397-08002B2CF9AE}" pid="6" name="Produit">
    <vt:lpwstr/>
  </property>
  <property fmtid="{D5CDD505-2E9C-101B-9397-08002B2CF9AE}" pid="7" name="TypeDocument">
    <vt:lpwstr/>
  </property>
  <property fmtid="{D5CDD505-2E9C-101B-9397-08002B2CF9AE}" pid="8" name="RegionTouristique">
    <vt:lpwstr/>
  </property>
  <property fmtid="{D5CDD505-2E9C-101B-9397-08002B2CF9AE}" pid="9" name="j9aca1b9b2a04803a37da3e845598002">
    <vt:lpwstr/>
  </property>
  <property fmtid="{D5CDD505-2E9C-101B-9397-08002B2CF9AE}" pid="10" name="Mot-clé">
    <vt:lpwstr/>
  </property>
  <property fmtid="{D5CDD505-2E9C-101B-9397-08002B2CF9AE}" pid="11" name="Strategie">
    <vt:lpwstr/>
  </property>
  <property fmtid="{D5CDD505-2E9C-101B-9397-08002B2CF9AE}" pid="12" name="nbbc4ed78cba48f1a286de574063cb6a">
    <vt:lpwstr/>
  </property>
  <property fmtid="{D5CDD505-2E9C-101B-9397-08002B2CF9AE}" pid="13" name="ProgrammeAide">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Mot_x002d_cl_x00e9_">
    <vt:lpwstr/>
  </property>
  <property fmtid="{D5CDD505-2E9C-101B-9397-08002B2CF9AE}" pid="17" name="_docset_NoMedatataSyncRequired">
    <vt:lpwstr>False</vt:lpwstr>
  </property>
  <property fmtid="{D5CDD505-2E9C-101B-9397-08002B2CF9AE}" pid="18" name="StatutArchivistique">
    <vt:lpwstr>1</vt:lpwstr>
  </property>
  <property fmtid="{D5CDD505-2E9C-101B-9397-08002B2CF9AE}" pid="19" name="AnneeBudgetaire">
    <vt:lpwstr>140</vt:lpwstr>
  </property>
  <property fmtid="{D5CDD505-2E9C-101B-9397-08002B2CF9AE}" pid="20" name="Classification">
    <vt:lpwstr>388</vt:lpwstr>
  </property>
  <property fmtid="{D5CDD505-2E9C-101B-9397-08002B2CF9AE}" pid="21" name="Detenteur">
    <vt:lpwstr>354</vt:lpwstr>
  </property>
  <property fmtid="{D5CDD505-2E9C-101B-9397-08002B2CF9AE}" pid="22" name="AnneeBudgetaireFin">
    <vt:lpwstr>116</vt:lpwstr>
  </property>
</Properties>
</file>